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1853F" w14:textId="49C4298B" w:rsidR="00A75C8E" w:rsidRPr="003110BA" w:rsidRDefault="0BB63DA5" w:rsidP="001E420F">
      <w:pPr>
        <w:pStyle w:val="Heading1"/>
      </w:pPr>
      <w:r w:rsidRPr="003110BA">
        <w:t>Wellbeing and Safety</w:t>
      </w:r>
      <w:r w:rsidR="00A75C8E" w:rsidRPr="003110BA">
        <w:t xml:space="preserve"> </w:t>
      </w:r>
      <w:r w:rsidR="6D370148" w:rsidRPr="003110BA">
        <w:t xml:space="preserve">Program </w:t>
      </w:r>
      <w:r w:rsidR="00A75C8E" w:rsidRPr="003110BA">
        <w:t>Logic</w:t>
      </w:r>
      <w:r w:rsidR="084DFA0D" w:rsidRPr="003110BA">
        <w:t xml:space="preserve"> 2 (young people)</w:t>
      </w:r>
      <w:r w:rsidR="009F61A8" w:rsidRPr="003110BA">
        <w:tab/>
      </w:r>
    </w:p>
    <w:p w14:paraId="0B4AEF85" w14:textId="2AA7F54B" w:rsidR="00B253F6" w:rsidRPr="003110BA" w:rsidRDefault="00B253F6" w:rsidP="00B253F6">
      <w:pPr>
        <w:pStyle w:val="Heading2"/>
        <w:ind w:left="-851"/>
        <w:rPr>
          <w:rFonts w:ascii="Public Sans" w:eastAsiaTheme="minorEastAsia" w:hAnsi="Public Sans"/>
          <w:b/>
        </w:rPr>
      </w:pPr>
    </w:p>
    <w:tbl>
      <w:tblPr>
        <w:tblStyle w:val="TableGrid"/>
        <w:tblW w:w="22680"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CellMar>
          <w:top w:w="142" w:type="dxa"/>
          <w:left w:w="142" w:type="dxa"/>
          <w:bottom w:w="142" w:type="dxa"/>
          <w:right w:w="142" w:type="dxa"/>
        </w:tblCellMar>
        <w:tblLook w:val="06A0" w:firstRow="1" w:lastRow="0" w:firstColumn="1" w:lastColumn="0" w:noHBand="1" w:noVBand="1"/>
      </w:tblPr>
      <w:tblGrid>
        <w:gridCol w:w="3096"/>
        <w:gridCol w:w="3403"/>
        <w:gridCol w:w="5527"/>
        <w:gridCol w:w="2540"/>
        <w:gridCol w:w="4831"/>
        <w:gridCol w:w="3283"/>
      </w:tblGrid>
      <w:tr w:rsidR="00B253F6" w:rsidRPr="00F00878" w14:paraId="782F85FF" w14:textId="77777777" w:rsidTr="31669C8E">
        <w:trPr>
          <w:cantSplit/>
          <w:trHeight w:val="624"/>
          <w:tblHeader/>
          <w:jc w:val="center"/>
        </w:trPr>
        <w:tc>
          <w:tcPr>
            <w:tcW w:w="3096" w:type="dxa"/>
            <w:shd w:val="clear" w:color="auto" w:fill="0A7CB9"/>
          </w:tcPr>
          <w:p w14:paraId="272DEB21" w14:textId="4DF010D6" w:rsidR="00B253F6" w:rsidRPr="00F00878" w:rsidRDefault="00B253F6" w:rsidP="00CD1E9A">
            <w:pPr>
              <w:pStyle w:val="H2"/>
              <w:framePr w:hSpace="0" w:wrap="auto" w:vAnchor="margin" w:hAnchor="text" w:xAlign="left" w:yAlign="inline"/>
              <w:suppressOverlap w:val="0"/>
              <w:rPr>
                <w:rFonts w:ascii="Arial" w:hAnsi="Arial"/>
                <w:color w:val="FFFFFF" w:themeColor="background1"/>
                <w:sz w:val="20"/>
                <w:szCs w:val="20"/>
              </w:rPr>
            </w:pPr>
            <w:r w:rsidRPr="00F00878">
              <w:rPr>
                <w:rFonts w:ascii="Arial" w:hAnsi="Arial"/>
                <w:color w:val="FFFFFF" w:themeColor="background1"/>
                <w:sz w:val="20"/>
                <w:szCs w:val="20"/>
              </w:rPr>
              <w:t>Current Situation</w:t>
            </w:r>
          </w:p>
        </w:tc>
        <w:tc>
          <w:tcPr>
            <w:tcW w:w="3403" w:type="dxa"/>
            <w:shd w:val="clear" w:color="auto" w:fill="0A7CB9"/>
          </w:tcPr>
          <w:p w14:paraId="27A217B9" w14:textId="77777777" w:rsidR="00B253F6" w:rsidRPr="00F00878" w:rsidRDefault="00B253F6" w:rsidP="00CD1E9A">
            <w:pPr>
              <w:pStyle w:val="H2"/>
              <w:framePr w:hSpace="0" w:wrap="auto" w:vAnchor="margin" w:hAnchor="text" w:xAlign="left" w:yAlign="inline"/>
              <w:suppressOverlap w:val="0"/>
              <w:rPr>
                <w:rFonts w:ascii="Arial" w:hAnsi="Arial"/>
                <w:color w:val="FFFFFF" w:themeColor="background1"/>
                <w:sz w:val="20"/>
                <w:szCs w:val="20"/>
              </w:rPr>
            </w:pPr>
            <w:r w:rsidRPr="00F00878">
              <w:rPr>
                <w:rFonts w:ascii="Arial" w:hAnsi="Arial"/>
                <w:color w:val="FFFFFF" w:themeColor="background1"/>
                <w:sz w:val="20"/>
                <w:szCs w:val="20"/>
              </w:rPr>
              <w:t>Evidence</w:t>
            </w:r>
          </w:p>
        </w:tc>
        <w:tc>
          <w:tcPr>
            <w:tcW w:w="5527" w:type="dxa"/>
            <w:shd w:val="clear" w:color="auto" w:fill="0A7CB9"/>
          </w:tcPr>
          <w:p w14:paraId="6D330CC0" w14:textId="51FEA62B" w:rsidR="00B253F6" w:rsidRPr="00F00878" w:rsidRDefault="0D05A351" w:rsidP="00E90E73">
            <w:pPr>
              <w:pStyle w:val="H2"/>
              <w:framePr w:hSpace="0" w:wrap="auto" w:vAnchor="margin" w:hAnchor="text" w:xAlign="left" w:yAlign="inline"/>
              <w:suppressOverlap w:val="0"/>
              <w:rPr>
                <w:rFonts w:ascii="Arial" w:hAnsi="Arial"/>
                <w:color w:val="FFFFFF" w:themeColor="background1"/>
                <w:sz w:val="20"/>
                <w:szCs w:val="20"/>
              </w:rPr>
            </w:pPr>
            <w:r w:rsidRPr="00F00878">
              <w:rPr>
                <w:rFonts w:ascii="Arial" w:hAnsi="Arial"/>
                <w:color w:val="FFFFFF" w:themeColor="background1"/>
                <w:sz w:val="20"/>
                <w:szCs w:val="20"/>
              </w:rPr>
              <w:t xml:space="preserve">ACTIVITIES AND </w:t>
            </w:r>
            <w:r w:rsidR="5E9CB27F" w:rsidRPr="00F00878">
              <w:rPr>
                <w:rFonts w:ascii="Arial" w:hAnsi="Arial"/>
                <w:color w:val="FFFFFF" w:themeColor="background1"/>
                <w:sz w:val="20"/>
                <w:szCs w:val="20"/>
              </w:rPr>
              <w:t>SERVICE</w:t>
            </w:r>
            <w:r w:rsidR="170D34D3" w:rsidRPr="00F00878">
              <w:rPr>
                <w:rFonts w:ascii="Arial" w:hAnsi="Arial"/>
                <w:color w:val="FFFFFF" w:themeColor="background1"/>
                <w:sz w:val="20"/>
                <w:szCs w:val="20"/>
              </w:rPr>
              <w:t>S</w:t>
            </w:r>
            <w:r w:rsidR="5E9CB27F" w:rsidRPr="00F00878">
              <w:rPr>
                <w:rFonts w:ascii="Arial" w:hAnsi="Arial"/>
                <w:color w:val="FFFFFF" w:themeColor="background1"/>
                <w:sz w:val="20"/>
                <w:szCs w:val="20"/>
              </w:rPr>
              <w:t xml:space="preserve"> </w:t>
            </w:r>
          </w:p>
          <w:p w14:paraId="1074D9AB" w14:textId="6E3E5050" w:rsidR="00B22666" w:rsidRPr="00F00878" w:rsidRDefault="00B22666" w:rsidP="52BCE6BD">
            <w:pPr>
              <w:pStyle w:val="H2"/>
              <w:framePr w:hSpace="0" w:wrap="auto" w:vAnchor="margin" w:hAnchor="text" w:xAlign="left" w:yAlign="inline"/>
              <w:suppressOverlap w:val="0"/>
              <w:rPr>
                <w:rFonts w:ascii="Arial" w:hAnsi="Arial"/>
                <w:i/>
                <w:iCs/>
                <w:color w:val="FFFFFF" w:themeColor="background1"/>
                <w:sz w:val="20"/>
                <w:szCs w:val="20"/>
              </w:rPr>
            </w:pPr>
            <w:r w:rsidRPr="00F00878">
              <w:rPr>
                <w:rFonts w:ascii="Arial" w:hAnsi="Arial"/>
                <w:i/>
                <w:iCs/>
                <w:color w:val="FFFFFF" w:themeColor="background1"/>
                <w:sz w:val="20"/>
                <w:szCs w:val="20"/>
              </w:rPr>
              <w:t xml:space="preserve"> </w:t>
            </w:r>
          </w:p>
        </w:tc>
        <w:tc>
          <w:tcPr>
            <w:tcW w:w="2540" w:type="dxa"/>
            <w:shd w:val="clear" w:color="auto" w:fill="0A7CB9"/>
          </w:tcPr>
          <w:p w14:paraId="6DCF3735" w14:textId="77777777" w:rsidR="00B253F6" w:rsidRPr="00F00878" w:rsidRDefault="00B253F6" w:rsidP="00CD1E9A">
            <w:pPr>
              <w:pStyle w:val="H2"/>
              <w:framePr w:hSpace="0" w:wrap="auto" w:vAnchor="margin" w:hAnchor="text" w:xAlign="left" w:yAlign="inline"/>
              <w:suppressOverlap w:val="0"/>
              <w:rPr>
                <w:rFonts w:ascii="Arial" w:hAnsi="Arial"/>
                <w:color w:val="FFFFFF" w:themeColor="background1"/>
                <w:sz w:val="20"/>
                <w:szCs w:val="20"/>
              </w:rPr>
            </w:pPr>
            <w:r w:rsidRPr="00F00878">
              <w:rPr>
                <w:rFonts w:ascii="Arial" w:hAnsi="Arial"/>
                <w:color w:val="FFFFFF" w:themeColor="background1"/>
                <w:sz w:val="20"/>
                <w:szCs w:val="20"/>
              </w:rPr>
              <w:t>Outputs</w:t>
            </w:r>
          </w:p>
        </w:tc>
        <w:tc>
          <w:tcPr>
            <w:tcW w:w="4831" w:type="dxa"/>
            <w:shd w:val="clear" w:color="auto" w:fill="0A7CB9"/>
          </w:tcPr>
          <w:p w14:paraId="4185CE09" w14:textId="77777777" w:rsidR="00B253F6" w:rsidRPr="00F00878" w:rsidRDefault="00B253F6" w:rsidP="00CD1E9A">
            <w:pPr>
              <w:pStyle w:val="H2"/>
              <w:framePr w:hSpace="0" w:wrap="auto" w:vAnchor="margin" w:hAnchor="text" w:xAlign="left" w:yAlign="inline"/>
              <w:suppressOverlap w:val="0"/>
              <w:rPr>
                <w:rFonts w:ascii="Arial" w:hAnsi="Arial"/>
                <w:color w:val="FFFFFF" w:themeColor="background1"/>
                <w:sz w:val="20"/>
                <w:szCs w:val="20"/>
              </w:rPr>
            </w:pPr>
            <w:r w:rsidRPr="00F00878">
              <w:rPr>
                <w:rFonts w:ascii="Arial" w:hAnsi="Arial"/>
                <w:color w:val="FFFFFF" w:themeColor="background1"/>
                <w:sz w:val="20"/>
                <w:szCs w:val="20"/>
              </w:rPr>
              <w:t>Theory of Change</w:t>
            </w:r>
          </w:p>
        </w:tc>
        <w:tc>
          <w:tcPr>
            <w:tcW w:w="3283" w:type="dxa"/>
            <w:tcBorders>
              <w:bottom w:val="single" w:sz="18" w:space="0" w:color="FFFFFF" w:themeColor="background1"/>
            </w:tcBorders>
            <w:shd w:val="clear" w:color="auto" w:fill="0A7CB9"/>
          </w:tcPr>
          <w:p w14:paraId="453E0AC2" w14:textId="77777777" w:rsidR="00B253F6" w:rsidRPr="00F00878" w:rsidRDefault="00B253F6" w:rsidP="00CD1E9A">
            <w:pPr>
              <w:pStyle w:val="H2"/>
              <w:framePr w:hSpace="0" w:wrap="auto" w:vAnchor="margin" w:hAnchor="text" w:xAlign="left" w:yAlign="inline"/>
              <w:suppressOverlap w:val="0"/>
              <w:rPr>
                <w:rFonts w:ascii="Arial" w:hAnsi="Arial"/>
                <w:color w:val="FFFFFF" w:themeColor="background1"/>
                <w:sz w:val="20"/>
                <w:szCs w:val="20"/>
              </w:rPr>
            </w:pPr>
            <w:r w:rsidRPr="00F00878">
              <w:rPr>
                <w:rFonts w:ascii="Arial" w:hAnsi="Arial"/>
                <w:color w:val="FFFFFF" w:themeColor="background1"/>
                <w:sz w:val="20"/>
                <w:szCs w:val="20"/>
              </w:rPr>
              <w:t>client Outcomes</w:t>
            </w:r>
          </w:p>
        </w:tc>
      </w:tr>
      <w:tr w:rsidR="009C4B49" w:rsidRPr="00F00878" w14:paraId="6D8D5B25" w14:textId="77777777" w:rsidTr="31669C8E">
        <w:trPr>
          <w:cantSplit/>
          <w:trHeight w:val="8375"/>
          <w:jc w:val="center"/>
        </w:trPr>
        <w:tc>
          <w:tcPr>
            <w:tcW w:w="3096" w:type="dxa"/>
            <w:vMerge w:val="restart"/>
            <w:shd w:val="clear" w:color="auto" w:fill="F2F2F2" w:themeFill="background1" w:themeFillShade="F2"/>
          </w:tcPr>
          <w:p w14:paraId="69FFE43B" w14:textId="53B8BF0E" w:rsidR="00A11696" w:rsidRPr="00F00878" w:rsidRDefault="5B5771FF" w:rsidP="43353476">
            <w:pPr>
              <w:spacing w:before="0" w:after="160" w:line="259" w:lineRule="auto"/>
              <w:rPr>
                <w:rFonts w:eastAsia="Times New Roman" w:cs="Arial"/>
                <w:sz w:val="20"/>
                <w:szCs w:val="20"/>
              </w:rPr>
            </w:pPr>
            <w:r w:rsidRPr="00F00878">
              <w:rPr>
                <w:rFonts w:eastAsia="Times New Roman" w:cs="Arial"/>
                <w:sz w:val="20"/>
                <w:szCs w:val="20"/>
              </w:rPr>
              <w:t xml:space="preserve">Target group: </w:t>
            </w:r>
          </w:p>
          <w:p w14:paraId="3B99BF7F" w14:textId="64910B3F" w:rsidR="00A11696" w:rsidRPr="00F00878" w:rsidRDefault="3499B192" w:rsidP="43353476">
            <w:pPr>
              <w:spacing w:before="0" w:after="160" w:line="259" w:lineRule="auto"/>
              <w:rPr>
                <w:rFonts w:eastAsia="Times New Roman" w:cs="Arial"/>
                <w:sz w:val="20"/>
                <w:szCs w:val="20"/>
              </w:rPr>
            </w:pPr>
            <w:r w:rsidRPr="00F00878">
              <w:rPr>
                <w:rFonts w:eastAsia="Times New Roman" w:cs="Arial"/>
                <w:sz w:val="20"/>
                <w:szCs w:val="20"/>
              </w:rPr>
              <w:t>Y</w:t>
            </w:r>
            <w:r w:rsidR="5B5771FF" w:rsidRPr="00F00878">
              <w:rPr>
                <w:rFonts w:eastAsia="Times New Roman" w:cs="Arial"/>
                <w:sz w:val="20"/>
                <w:szCs w:val="20"/>
              </w:rPr>
              <w:t xml:space="preserve">oung people aged </w:t>
            </w:r>
            <w:r w:rsidR="7B32BA71" w:rsidRPr="00F00878">
              <w:rPr>
                <w:rFonts w:eastAsia="Times New Roman" w:cs="Arial"/>
                <w:sz w:val="20"/>
                <w:szCs w:val="20"/>
              </w:rPr>
              <w:t xml:space="preserve">10 – 24 </w:t>
            </w:r>
            <w:r w:rsidR="5B5771FF" w:rsidRPr="00F00878">
              <w:rPr>
                <w:rFonts w:eastAsia="Times New Roman" w:cs="Arial"/>
                <w:sz w:val="20"/>
                <w:szCs w:val="20"/>
              </w:rPr>
              <w:t>transitioning from childhood to adulthood, particularly those facing disadvantage</w:t>
            </w:r>
            <w:r w:rsidR="465647D0" w:rsidRPr="00F00878">
              <w:rPr>
                <w:rFonts w:eastAsia="Times New Roman" w:cs="Arial"/>
                <w:sz w:val="20"/>
                <w:szCs w:val="20"/>
              </w:rPr>
              <w:t>, including:</w:t>
            </w:r>
          </w:p>
          <w:p w14:paraId="0468660B" w14:textId="4E5E6F5F" w:rsidR="00A11696" w:rsidRPr="00F00878" w:rsidRDefault="018998ED" w:rsidP="001C0233">
            <w:pPr>
              <w:pStyle w:val="ListParagraph"/>
              <w:numPr>
                <w:ilvl w:val="0"/>
                <w:numId w:val="47"/>
              </w:numPr>
              <w:spacing w:before="0" w:after="160" w:line="259" w:lineRule="auto"/>
              <w:rPr>
                <w:rFonts w:eastAsia="Times New Roman" w:cs="Arial"/>
                <w:sz w:val="20"/>
                <w:szCs w:val="20"/>
              </w:rPr>
            </w:pPr>
            <w:r w:rsidRPr="00F00878">
              <w:rPr>
                <w:rFonts w:eastAsia="Times New Roman" w:cs="Arial"/>
                <w:sz w:val="20"/>
                <w:szCs w:val="20"/>
              </w:rPr>
              <w:t xml:space="preserve">Children and young people at risk of disengagement from school, </w:t>
            </w:r>
            <w:proofErr w:type="gramStart"/>
            <w:r w:rsidRPr="00F00878">
              <w:rPr>
                <w:rFonts w:eastAsia="Times New Roman" w:cs="Arial"/>
                <w:sz w:val="20"/>
                <w:szCs w:val="20"/>
              </w:rPr>
              <w:t>family</w:t>
            </w:r>
            <w:proofErr w:type="gramEnd"/>
            <w:r w:rsidRPr="00F00878">
              <w:rPr>
                <w:rFonts w:eastAsia="Times New Roman" w:cs="Arial"/>
                <w:sz w:val="20"/>
                <w:szCs w:val="20"/>
              </w:rPr>
              <w:t xml:space="preserve"> and community.</w:t>
            </w:r>
          </w:p>
          <w:p w14:paraId="479B3841" w14:textId="0F074CB8" w:rsidR="00A11696" w:rsidRPr="00F00878" w:rsidRDefault="018998ED" w:rsidP="001C0233">
            <w:pPr>
              <w:pStyle w:val="ListParagraph"/>
              <w:numPr>
                <w:ilvl w:val="0"/>
                <w:numId w:val="47"/>
              </w:numPr>
              <w:spacing w:before="0" w:after="160" w:line="259" w:lineRule="auto"/>
              <w:rPr>
                <w:rFonts w:eastAsia="Times New Roman" w:cs="Arial"/>
                <w:sz w:val="20"/>
                <w:szCs w:val="20"/>
              </w:rPr>
            </w:pPr>
            <w:r w:rsidRPr="00F00878">
              <w:rPr>
                <w:rFonts w:eastAsia="Times New Roman" w:cs="Arial"/>
                <w:sz w:val="20"/>
                <w:szCs w:val="20"/>
              </w:rPr>
              <w:t xml:space="preserve">Young parents with known vulnerabilities or who are experiencing </w:t>
            </w:r>
            <w:proofErr w:type="gramStart"/>
            <w:r w:rsidRPr="00F00878">
              <w:rPr>
                <w:rFonts w:eastAsia="Times New Roman" w:cs="Arial"/>
                <w:sz w:val="20"/>
                <w:szCs w:val="20"/>
              </w:rPr>
              <w:t>a number of</w:t>
            </w:r>
            <w:proofErr w:type="gramEnd"/>
            <w:r w:rsidRPr="00F00878">
              <w:rPr>
                <w:rFonts w:eastAsia="Times New Roman" w:cs="Arial"/>
                <w:sz w:val="20"/>
                <w:szCs w:val="20"/>
              </w:rPr>
              <w:t xml:space="preserve"> hardships.</w:t>
            </w:r>
          </w:p>
          <w:p w14:paraId="044689E5" w14:textId="3A38AEB2" w:rsidR="00A11696" w:rsidRPr="00EE03F0" w:rsidRDefault="52FF9D66" w:rsidP="001C0233">
            <w:pPr>
              <w:pStyle w:val="ListParagraph"/>
              <w:numPr>
                <w:ilvl w:val="0"/>
                <w:numId w:val="47"/>
              </w:numPr>
              <w:spacing w:before="0" w:after="160" w:line="259" w:lineRule="auto"/>
              <w:rPr>
                <w:rFonts w:eastAsia="Times New Roman" w:cs="Arial"/>
                <w:sz w:val="20"/>
                <w:szCs w:val="20"/>
              </w:rPr>
            </w:pPr>
            <w:r w:rsidRPr="00EE03F0">
              <w:rPr>
                <w:rFonts w:cs="Arial"/>
                <w:sz w:val="20"/>
                <w:szCs w:val="20"/>
              </w:rPr>
              <w:t>Children and young people affected by a mental health condition/s</w:t>
            </w:r>
            <w:r w:rsidR="018998ED" w:rsidRPr="00EE03F0">
              <w:rPr>
                <w:rFonts w:eastAsia="Times New Roman" w:cs="Arial"/>
                <w:sz w:val="20"/>
                <w:szCs w:val="20"/>
              </w:rPr>
              <w:t>.</w:t>
            </w:r>
          </w:p>
          <w:p w14:paraId="051A06C2" w14:textId="40EB30BC" w:rsidR="00A11696" w:rsidRPr="00F00878" w:rsidRDefault="5B5771FF" w:rsidP="43353476">
            <w:pPr>
              <w:spacing w:before="0" w:after="160" w:line="259" w:lineRule="auto"/>
              <w:rPr>
                <w:rFonts w:eastAsia="Times New Roman" w:cs="Arial"/>
                <w:sz w:val="20"/>
                <w:szCs w:val="20"/>
              </w:rPr>
            </w:pPr>
            <w:r w:rsidRPr="00F00878">
              <w:rPr>
                <w:rFonts w:eastAsia="Times New Roman" w:cs="Arial"/>
                <w:sz w:val="20"/>
                <w:szCs w:val="20"/>
              </w:rPr>
              <w:t>Particularly vulnerable groups include</w:t>
            </w:r>
            <w:r w:rsidR="1BE357AF" w:rsidRPr="00F00878">
              <w:rPr>
                <w:rFonts w:eastAsia="Times New Roman" w:cs="Arial"/>
                <w:sz w:val="20"/>
                <w:szCs w:val="20"/>
              </w:rPr>
              <w:t xml:space="preserve"> people living</w:t>
            </w:r>
            <w:r w:rsidRPr="00F00878">
              <w:rPr>
                <w:rFonts w:eastAsia="Times New Roman" w:cs="Arial"/>
                <w:sz w:val="20"/>
                <w:szCs w:val="20"/>
              </w:rPr>
              <w:t xml:space="preserve"> regional</w:t>
            </w:r>
            <w:r w:rsidR="4B747276" w:rsidRPr="00F00878">
              <w:rPr>
                <w:rFonts w:eastAsia="Times New Roman" w:cs="Arial"/>
                <w:sz w:val="20"/>
                <w:szCs w:val="20"/>
              </w:rPr>
              <w:t>ly</w:t>
            </w:r>
            <w:r w:rsidRPr="00F00878">
              <w:rPr>
                <w:rFonts w:eastAsia="Times New Roman" w:cs="Arial"/>
                <w:sz w:val="20"/>
                <w:szCs w:val="20"/>
              </w:rPr>
              <w:t>, Aboriginal</w:t>
            </w:r>
            <w:r w:rsidR="6E3434A4" w:rsidRPr="00F00878">
              <w:rPr>
                <w:rFonts w:eastAsia="Times New Roman" w:cs="Arial"/>
                <w:sz w:val="20"/>
                <w:szCs w:val="20"/>
              </w:rPr>
              <w:t xml:space="preserve"> children, </w:t>
            </w:r>
            <w:proofErr w:type="gramStart"/>
            <w:r w:rsidR="6E3434A4" w:rsidRPr="00F00878">
              <w:rPr>
                <w:rFonts w:eastAsia="Times New Roman" w:cs="Arial"/>
                <w:sz w:val="20"/>
                <w:szCs w:val="20"/>
              </w:rPr>
              <w:t>families</w:t>
            </w:r>
            <w:proofErr w:type="gramEnd"/>
            <w:r w:rsidR="6E3434A4" w:rsidRPr="00F00878">
              <w:rPr>
                <w:rFonts w:eastAsia="Times New Roman" w:cs="Arial"/>
                <w:sz w:val="20"/>
                <w:szCs w:val="20"/>
              </w:rPr>
              <w:t xml:space="preserve"> or communities</w:t>
            </w:r>
            <w:r w:rsidRPr="00F00878">
              <w:rPr>
                <w:rFonts w:eastAsia="Times New Roman" w:cs="Arial"/>
                <w:sz w:val="20"/>
                <w:szCs w:val="20"/>
              </w:rPr>
              <w:t>, LGBTIQA+</w:t>
            </w:r>
            <w:r w:rsidR="272BD320" w:rsidRPr="00F00878">
              <w:rPr>
                <w:rFonts w:eastAsia="Times New Roman" w:cs="Arial"/>
                <w:sz w:val="20"/>
                <w:szCs w:val="20"/>
              </w:rPr>
              <w:t xml:space="preserve"> people</w:t>
            </w:r>
            <w:r w:rsidRPr="00F00878">
              <w:rPr>
                <w:rFonts w:eastAsia="Times New Roman" w:cs="Arial"/>
                <w:sz w:val="20"/>
                <w:szCs w:val="20"/>
              </w:rPr>
              <w:t xml:space="preserve">, </w:t>
            </w:r>
            <w:r w:rsidR="077EC4EE" w:rsidRPr="00F00878">
              <w:rPr>
                <w:rFonts w:eastAsia="Times New Roman" w:cs="Arial"/>
                <w:sz w:val="20"/>
                <w:szCs w:val="20"/>
              </w:rPr>
              <w:t xml:space="preserve">people </w:t>
            </w:r>
            <w:r w:rsidRPr="00F00878">
              <w:rPr>
                <w:rFonts w:eastAsia="Times New Roman" w:cs="Arial"/>
                <w:sz w:val="20"/>
                <w:szCs w:val="20"/>
              </w:rPr>
              <w:t xml:space="preserve">with disability and/or </w:t>
            </w:r>
            <w:r w:rsidR="638CEB24" w:rsidRPr="00F00878">
              <w:rPr>
                <w:rFonts w:eastAsia="Times New Roman" w:cs="Arial"/>
                <w:sz w:val="20"/>
                <w:szCs w:val="20"/>
              </w:rPr>
              <w:t xml:space="preserve">people </w:t>
            </w:r>
            <w:r w:rsidRPr="00F00878">
              <w:rPr>
                <w:rFonts w:eastAsia="Times New Roman" w:cs="Arial"/>
                <w:sz w:val="20"/>
                <w:szCs w:val="20"/>
              </w:rPr>
              <w:t>from culturally and linguistically diverse communities, including migrants and refugees.</w:t>
            </w:r>
          </w:p>
          <w:p w14:paraId="5281E6C4" w14:textId="1123B59F" w:rsidR="00A11696" w:rsidRPr="00F00878" w:rsidRDefault="5B5771FF" w:rsidP="55D70164">
            <w:pPr>
              <w:spacing w:before="0" w:after="160" w:line="259" w:lineRule="auto"/>
              <w:rPr>
                <w:rFonts w:eastAsia="Times New Roman" w:cs="Arial"/>
                <w:sz w:val="20"/>
                <w:szCs w:val="20"/>
              </w:rPr>
            </w:pPr>
            <w:r w:rsidRPr="00F00878">
              <w:rPr>
                <w:rFonts w:eastAsia="Times New Roman" w:cs="Arial"/>
                <w:sz w:val="20"/>
                <w:szCs w:val="20"/>
              </w:rPr>
              <w:t xml:space="preserve">Young people are at the life stage where they experience significant physical, emotional, psychological, </w:t>
            </w:r>
            <w:proofErr w:type="gramStart"/>
            <w:r w:rsidRPr="00F00878">
              <w:rPr>
                <w:rFonts w:eastAsia="Times New Roman" w:cs="Arial"/>
                <w:sz w:val="20"/>
                <w:szCs w:val="20"/>
              </w:rPr>
              <w:t>cognitive</w:t>
            </w:r>
            <w:proofErr w:type="gramEnd"/>
            <w:r w:rsidRPr="00F00878">
              <w:rPr>
                <w:rFonts w:eastAsia="Times New Roman" w:cs="Arial"/>
                <w:sz w:val="20"/>
                <w:szCs w:val="20"/>
              </w:rPr>
              <w:t xml:space="preserve"> and social changes.  They may also face a range of challenges including increased poverty and housing insecurity, homelessness, disengagement from education and an increase in mental health issues, and cost</w:t>
            </w:r>
            <w:r w:rsidR="18F33812" w:rsidRPr="00F00878">
              <w:rPr>
                <w:rFonts w:eastAsia="Times New Roman" w:cs="Arial"/>
                <w:sz w:val="20"/>
                <w:szCs w:val="20"/>
              </w:rPr>
              <w:t xml:space="preserve"> </w:t>
            </w:r>
            <w:r w:rsidRPr="00F00878">
              <w:rPr>
                <w:rFonts w:eastAsia="Times New Roman" w:cs="Arial"/>
                <w:sz w:val="20"/>
                <w:szCs w:val="20"/>
              </w:rPr>
              <w:t>of</w:t>
            </w:r>
            <w:r w:rsidR="1542AA62" w:rsidRPr="00F00878">
              <w:rPr>
                <w:rFonts w:eastAsia="Times New Roman" w:cs="Arial"/>
                <w:sz w:val="20"/>
                <w:szCs w:val="20"/>
              </w:rPr>
              <w:t xml:space="preserve"> </w:t>
            </w:r>
            <w:r w:rsidRPr="00F00878">
              <w:rPr>
                <w:rFonts w:eastAsia="Times New Roman" w:cs="Arial"/>
                <w:sz w:val="20"/>
                <w:szCs w:val="20"/>
              </w:rPr>
              <w:t>living increases.</w:t>
            </w:r>
          </w:p>
          <w:p w14:paraId="569E90E6" w14:textId="4B801623" w:rsidR="00313B78" w:rsidRDefault="007677C4" w:rsidP="55D70164">
            <w:pPr>
              <w:spacing w:before="0" w:after="160" w:line="259" w:lineRule="auto"/>
              <w:rPr>
                <w:rFonts w:eastAsia="Times New Roman" w:cs="Arial"/>
                <w:b/>
                <w:bCs/>
                <w:sz w:val="20"/>
                <w:szCs w:val="20"/>
              </w:rPr>
            </w:pPr>
            <w:r>
              <w:rPr>
                <w:rFonts w:eastAsia="Times New Roman" w:cs="Arial"/>
                <w:b/>
                <w:bCs/>
                <w:sz w:val="20"/>
                <w:szCs w:val="20"/>
              </w:rPr>
              <w:lastRenderedPageBreak/>
              <w:t>Family Violence</w:t>
            </w:r>
          </w:p>
          <w:p w14:paraId="7458AC1D" w14:textId="72CB1238" w:rsidR="00F20E8D" w:rsidRPr="00151D20" w:rsidRDefault="00843E57" w:rsidP="00F20E8D">
            <w:pPr>
              <w:spacing w:before="120"/>
              <w:rPr>
                <w:rFonts w:eastAsia="Times New Roman" w:cs="Arial"/>
                <w:sz w:val="20"/>
                <w:szCs w:val="20"/>
              </w:rPr>
            </w:pPr>
            <w:r>
              <w:rPr>
                <w:rFonts w:eastAsia="Times New Roman" w:cs="Arial"/>
                <w:sz w:val="20"/>
                <w:szCs w:val="20"/>
              </w:rPr>
              <w:t>Family Violence</w:t>
            </w:r>
            <w:r w:rsidR="00F20E8D" w:rsidRPr="00151D20">
              <w:rPr>
                <w:rFonts w:eastAsia="Times New Roman" w:cs="Arial"/>
                <w:sz w:val="20"/>
                <w:szCs w:val="20"/>
              </w:rPr>
              <w:t xml:space="preserve"> is one of the most common issues presenting in child protection notifications in Australia.</w:t>
            </w:r>
            <w:r w:rsidR="00F20E8D" w:rsidRPr="00151D20">
              <w:rPr>
                <w:rFonts w:eastAsia="Times New Roman" w:cs="Arial"/>
                <w:sz w:val="20"/>
                <w:szCs w:val="20"/>
                <w:vertAlign w:val="superscript"/>
              </w:rPr>
              <w:footnoteReference w:id="2"/>
            </w:r>
            <w:r w:rsidR="00F20E8D" w:rsidRPr="00151D20">
              <w:rPr>
                <w:rFonts w:eastAsia="Times New Roman" w:cs="Arial"/>
                <w:sz w:val="20"/>
                <w:szCs w:val="20"/>
              </w:rPr>
              <w:t xml:space="preserve">  </w:t>
            </w:r>
            <w:r w:rsidR="00F20E8D" w:rsidRPr="00151D20">
              <w:rPr>
                <w:rFonts w:cs="Arial"/>
                <w:color w:val="000000"/>
                <w:sz w:val="20"/>
                <w:szCs w:val="20"/>
              </w:rPr>
              <w:t xml:space="preserve">The presence of </w:t>
            </w:r>
            <w:r>
              <w:rPr>
                <w:rFonts w:cs="Arial"/>
                <w:color w:val="000000"/>
                <w:sz w:val="20"/>
                <w:szCs w:val="20"/>
              </w:rPr>
              <w:t>Family Violence</w:t>
            </w:r>
            <w:r w:rsidR="00F20E8D" w:rsidRPr="00151D20">
              <w:rPr>
                <w:rFonts w:cs="Arial"/>
                <w:color w:val="000000"/>
                <w:sz w:val="20"/>
                <w:szCs w:val="20"/>
              </w:rPr>
              <w:t xml:space="preserve"> makes the child more likely to experience physical and sexual abuse and all forms of neglect.</w:t>
            </w:r>
            <w:r w:rsidR="00F20E8D" w:rsidRPr="00151D20">
              <w:rPr>
                <w:rFonts w:cs="Arial"/>
                <w:color w:val="000000"/>
                <w:sz w:val="20"/>
                <w:szCs w:val="20"/>
                <w:vertAlign w:val="superscript"/>
              </w:rPr>
              <w:footnoteReference w:id="3"/>
            </w:r>
            <w:r w:rsidR="00F20E8D" w:rsidRPr="00151D20">
              <w:rPr>
                <w:rFonts w:eastAsia="Times New Roman" w:cs="Arial"/>
                <w:sz w:val="20"/>
                <w:szCs w:val="20"/>
              </w:rPr>
              <w:t xml:space="preserve"> </w:t>
            </w:r>
          </w:p>
          <w:p w14:paraId="08CFDAF6" w14:textId="77777777" w:rsidR="00F20E8D" w:rsidRPr="00151D20" w:rsidRDefault="00F20E8D" w:rsidP="00F20E8D">
            <w:pPr>
              <w:autoSpaceDE w:val="0"/>
              <w:autoSpaceDN w:val="0"/>
              <w:adjustRightInd w:val="0"/>
              <w:rPr>
                <w:rFonts w:eastAsia="Arial" w:cs="Arial"/>
                <w:sz w:val="20"/>
                <w:szCs w:val="20"/>
              </w:rPr>
            </w:pPr>
            <w:r w:rsidRPr="00151D20">
              <w:rPr>
                <w:rFonts w:cs="Arial"/>
                <w:color w:val="000000"/>
                <w:sz w:val="20"/>
                <w:szCs w:val="20"/>
              </w:rPr>
              <w:t>A study found that young people who had witnessed abuse between family members and been subjected to targeted abuse were more than 9 times more likely to use violence in the home than those who had not experienced any child abuse</w:t>
            </w:r>
            <w:r w:rsidRPr="00151D20">
              <w:rPr>
                <w:rFonts w:cs="Arial"/>
                <w:sz w:val="20"/>
                <w:szCs w:val="20"/>
              </w:rPr>
              <w:t>.</w:t>
            </w:r>
            <w:r w:rsidRPr="00151D20">
              <w:rPr>
                <w:rFonts w:cs="Arial"/>
                <w:sz w:val="20"/>
                <w:szCs w:val="20"/>
                <w:vertAlign w:val="superscript"/>
              </w:rPr>
              <w:footnoteReference w:id="4"/>
            </w:r>
            <w:r w:rsidRPr="00151D20">
              <w:rPr>
                <w:rFonts w:cs="Arial"/>
                <w:sz w:val="20"/>
                <w:szCs w:val="20"/>
              </w:rPr>
              <w:t xml:space="preserve"> </w:t>
            </w:r>
          </w:p>
          <w:p w14:paraId="22C3F61A" w14:textId="77777777" w:rsidR="00FC4BF1" w:rsidRDefault="00D05970" w:rsidP="55D70164">
            <w:pPr>
              <w:spacing w:before="0" w:after="160" w:line="259" w:lineRule="auto"/>
              <w:rPr>
                <w:rFonts w:cs="Arial"/>
                <w:sz w:val="20"/>
                <w:szCs w:val="20"/>
              </w:rPr>
            </w:pPr>
            <w:r w:rsidRPr="00A74362">
              <w:rPr>
                <w:rFonts w:cs="Arial"/>
                <w:sz w:val="20"/>
                <w:szCs w:val="20"/>
              </w:rPr>
              <w:t xml:space="preserve">Young people are at the life stage where they experience significant physical, emotional, psychological, </w:t>
            </w:r>
            <w:proofErr w:type="gramStart"/>
            <w:r w:rsidRPr="00A74362">
              <w:rPr>
                <w:rFonts w:cs="Arial"/>
                <w:sz w:val="20"/>
                <w:szCs w:val="20"/>
              </w:rPr>
              <w:t>cognitive</w:t>
            </w:r>
            <w:proofErr w:type="gramEnd"/>
            <w:r w:rsidRPr="00A74362">
              <w:rPr>
                <w:rFonts w:cs="Arial"/>
                <w:sz w:val="20"/>
                <w:szCs w:val="20"/>
              </w:rPr>
              <w:t xml:space="preserve"> and social changes. Exposure to </w:t>
            </w:r>
            <w:r w:rsidR="00843E57">
              <w:rPr>
                <w:rFonts w:cs="Arial"/>
                <w:sz w:val="20"/>
                <w:szCs w:val="20"/>
              </w:rPr>
              <w:t>Family Violence</w:t>
            </w:r>
            <w:r w:rsidRPr="00A74362">
              <w:rPr>
                <w:rFonts w:cs="Arial"/>
                <w:sz w:val="20"/>
                <w:szCs w:val="20"/>
              </w:rPr>
              <w:t xml:space="preserve"> as well as a form of </w:t>
            </w:r>
            <w:proofErr w:type="gramStart"/>
            <w:r w:rsidRPr="00A74362">
              <w:rPr>
                <w:rFonts w:cs="Arial"/>
                <w:sz w:val="20"/>
                <w:szCs w:val="20"/>
              </w:rPr>
              <w:t>harm in itself, significantly</w:t>
            </w:r>
            <w:proofErr w:type="gramEnd"/>
            <w:r w:rsidRPr="00A74362">
              <w:rPr>
                <w:rFonts w:cs="Arial"/>
                <w:sz w:val="20"/>
                <w:szCs w:val="20"/>
              </w:rPr>
              <w:t xml:space="preserve"> impairs limits the ability of young people to navigate and manage these changes. Young people may also face a range of challenges because of </w:t>
            </w:r>
            <w:r w:rsidR="00843E57">
              <w:rPr>
                <w:rFonts w:cs="Arial"/>
                <w:sz w:val="20"/>
                <w:szCs w:val="20"/>
              </w:rPr>
              <w:t>Family Violence</w:t>
            </w:r>
            <w:r w:rsidRPr="00A74362">
              <w:rPr>
                <w:rFonts w:cs="Arial"/>
                <w:sz w:val="20"/>
                <w:szCs w:val="20"/>
              </w:rPr>
              <w:t xml:space="preserve"> including increased poverty and housing insecurity, homelessness, disengagement from education and an increase in mental health conditions.</w:t>
            </w:r>
          </w:p>
          <w:p w14:paraId="5C7ED711" w14:textId="13A10185" w:rsidR="00A11696" w:rsidRPr="00F00878" w:rsidRDefault="5B5771FF" w:rsidP="55D70164">
            <w:pPr>
              <w:spacing w:before="0" w:after="160" w:line="259" w:lineRule="auto"/>
              <w:rPr>
                <w:rFonts w:eastAsia="Times New Roman" w:cs="Arial"/>
                <w:b/>
                <w:bCs/>
                <w:sz w:val="20"/>
                <w:szCs w:val="20"/>
              </w:rPr>
            </w:pPr>
            <w:r w:rsidRPr="00F00878">
              <w:rPr>
                <w:rFonts w:eastAsia="Times New Roman" w:cs="Arial"/>
                <w:b/>
                <w:bCs/>
                <w:sz w:val="20"/>
                <w:szCs w:val="20"/>
              </w:rPr>
              <w:t>Mental health</w:t>
            </w:r>
          </w:p>
          <w:p w14:paraId="090D8AFC" w14:textId="37591879" w:rsidR="00A11696" w:rsidRPr="00F00878" w:rsidRDefault="5B5771FF" w:rsidP="55D70164">
            <w:pPr>
              <w:spacing w:before="0" w:after="160" w:line="259" w:lineRule="auto"/>
              <w:rPr>
                <w:rFonts w:eastAsia="Times New Roman" w:cs="Arial"/>
                <w:sz w:val="20"/>
                <w:szCs w:val="20"/>
              </w:rPr>
            </w:pPr>
            <w:r w:rsidRPr="00F00878">
              <w:rPr>
                <w:rFonts w:eastAsia="Times New Roman" w:cs="Arial"/>
                <w:sz w:val="20"/>
                <w:szCs w:val="20"/>
              </w:rPr>
              <w:t xml:space="preserve">In the period 2020-22, 38.8% of young people aged 16-24 </w:t>
            </w:r>
            <w:r w:rsidR="0FA13750" w:rsidRPr="00F00878">
              <w:rPr>
                <w:rFonts w:eastAsia="Times New Roman" w:cs="Arial"/>
                <w:sz w:val="20"/>
                <w:szCs w:val="20"/>
              </w:rPr>
              <w:t>experienced a mental disorder that lasted for</w:t>
            </w:r>
            <w:r w:rsidRPr="00F00878">
              <w:rPr>
                <w:rFonts w:eastAsia="Times New Roman" w:cs="Arial"/>
                <w:sz w:val="20"/>
                <w:szCs w:val="20"/>
              </w:rPr>
              <w:t xml:space="preserve"> 12</w:t>
            </w:r>
            <w:r w:rsidR="0DA070A5" w:rsidRPr="00F00878">
              <w:rPr>
                <w:rFonts w:eastAsia="Times New Roman" w:cs="Arial"/>
                <w:sz w:val="20"/>
                <w:szCs w:val="20"/>
              </w:rPr>
              <w:t xml:space="preserve"> </w:t>
            </w:r>
            <w:r w:rsidRPr="00F00878">
              <w:rPr>
                <w:rFonts w:eastAsia="Times New Roman" w:cs="Arial"/>
                <w:sz w:val="20"/>
                <w:szCs w:val="20"/>
              </w:rPr>
              <w:t>month</w:t>
            </w:r>
            <w:r w:rsidR="362FE2B7" w:rsidRPr="00F00878">
              <w:rPr>
                <w:rFonts w:eastAsia="Times New Roman" w:cs="Arial"/>
                <w:sz w:val="20"/>
                <w:szCs w:val="20"/>
              </w:rPr>
              <w:t>s or more</w:t>
            </w:r>
            <w:r w:rsidR="00F86746" w:rsidRPr="00F00878">
              <w:rPr>
                <w:rStyle w:val="FootnoteReference"/>
                <w:rFonts w:eastAsia="Times New Roman" w:cs="Arial"/>
                <w:sz w:val="20"/>
                <w:szCs w:val="20"/>
              </w:rPr>
              <w:footnoteReference w:id="5"/>
            </w:r>
            <w:r w:rsidRPr="00F00878">
              <w:rPr>
                <w:rFonts w:eastAsia="Times New Roman" w:cs="Arial"/>
                <w:sz w:val="20"/>
                <w:szCs w:val="20"/>
              </w:rPr>
              <w:t>.  Young people aged 16-24 are more likely to have a substance use disorder than other age groups</w:t>
            </w:r>
            <w:r w:rsidR="00F86746" w:rsidRPr="00F00878">
              <w:rPr>
                <w:rStyle w:val="FootnoteReference"/>
                <w:rFonts w:eastAsia="Times New Roman" w:cs="Arial"/>
                <w:sz w:val="20"/>
                <w:szCs w:val="20"/>
              </w:rPr>
              <w:footnoteReference w:id="6"/>
            </w:r>
            <w:r w:rsidRPr="00F00878">
              <w:rPr>
                <w:rFonts w:eastAsia="Times New Roman" w:cs="Arial"/>
                <w:sz w:val="20"/>
                <w:szCs w:val="20"/>
              </w:rPr>
              <w:t>.</w:t>
            </w:r>
          </w:p>
          <w:p w14:paraId="0A3FD07A" w14:textId="25B65FA7" w:rsidR="00A11696" w:rsidRPr="00F00878" w:rsidRDefault="00A11696" w:rsidP="00A11696">
            <w:pPr>
              <w:spacing w:before="0" w:after="160" w:line="259" w:lineRule="auto"/>
              <w:rPr>
                <w:rFonts w:eastAsia="Times New Roman" w:cs="Arial"/>
                <w:sz w:val="20"/>
                <w:szCs w:val="20"/>
              </w:rPr>
            </w:pPr>
            <w:r w:rsidRPr="00F00878">
              <w:rPr>
                <w:rFonts w:eastAsia="Times New Roman" w:cs="Arial"/>
                <w:sz w:val="20"/>
                <w:szCs w:val="20"/>
              </w:rPr>
              <w:t>Young people have the highest rates of hospitalisation for intentional self-harm.  In 2021-22 the rate for young people aged 15–19 was 389 hospitalisations per 100,000 population, the highest of all age groups</w:t>
            </w:r>
            <w:r w:rsidR="00F86746" w:rsidRPr="00F00878">
              <w:rPr>
                <w:rStyle w:val="FootnoteReference"/>
                <w:rFonts w:eastAsia="Times New Roman" w:cs="Arial"/>
                <w:sz w:val="20"/>
                <w:szCs w:val="20"/>
              </w:rPr>
              <w:footnoteReference w:id="7"/>
            </w:r>
            <w:r w:rsidRPr="00F00878">
              <w:rPr>
                <w:rFonts w:eastAsia="Times New Roman" w:cs="Arial"/>
                <w:sz w:val="20"/>
                <w:szCs w:val="20"/>
              </w:rPr>
              <w:t>.</w:t>
            </w:r>
          </w:p>
          <w:p w14:paraId="6753230A" w14:textId="4AC80D4F" w:rsidR="00A11696" w:rsidRPr="00F00878" w:rsidRDefault="00A11696" w:rsidP="00A11696">
            <w:pPr>
              <w:spacing w:before="0" w:after="160" w:line="259" w:lineRule="auto"/>
              <w:rPr>
                <w:rFonts w:eastAsia="Times New Roman" w:cs="Arial"/>
                <w:sz w:val="20"/>
                <w:szCs w:val="20"/>
              </w:rPr>
            </w:pPr>
            <w:r w:rsidRPr="00F00878">
              <w:rPr>
                <w:rFonts w:eastAsia="Times New Roman" w:cs="Arial"/>
                <w:sz w:val="20"/>
                <w:szCs w:val="20"/>
              </w:rPr>
              <w:lastRenderedPageBreak/>
              <w:t>Suicide is the leading cause of death for Australians aged 15-24.  In 2022, deaths by suicide represented 30.9% of all deaths in young people aged 15–17 years and 32.4% of all deaths in those aged 18–24 years</w:t>
            </w:r>
            <w:r w:rsidR="00F86746" w:rsidRPr="00F00878">
              <w:rPr>
                <w:rStyle w:val="FootnoteReference"/>
                <w:rFonts w:eastAsia="Times New Roman" w:cs="Arial"/>
                <w:sz w:val="20"/>
                <w:szCs w:val="20"/>
              </w:rPr>
              <w:footnoteReference w:id="8"/>
            </w:r>
            <w:r w:rsidRPr="00F00878">
              <w:rPr>
                <w:rFonts w:eastAsia="Times New Roman" w:cs="Arial"/>
                <w:sz w:val="20"/>
                <w:szCs w:val="20"/>
              </w:rPr>
              <w:t>.</w:t>
            </w:r>
          </w:p>
          <w:p w14:paraId="2FD3B62E" w14:textId="77777777" w:rsidR="00A11696" w:rsidRPr="00F00878" w:rsidRDefault="00A11696" w:rsidP="00A11696">
            <w:pPr>
              <w:spacing w:before="0" w:after="160" w:line="259" w:lineRule="auto"/>
              <w:rPr>
                <w:rFonts w:eastAsia="Times New Roman" w:cs="Arial"/>
                <w:b/>
                <w:bCs/>
                <w:sz w:val="20"/>
                <w:szCs w:val="20"/>
              </w:rPr>
            </w:pPr>
            <w:r w:rsidRPr="00F00878">
              <w:rPr>
                <w:rFonts w:eastAsia="Times New Roman" w:cs="Arial"/>
                <w:b/>
                <w:bCs/>
                <w:sz w:val="20"/>
                <w:szCs w:val="20"/>
              </w:rPr>
              <w:t>School engagement and attendance</w:t>
            </w:r>
          </w:p>
          <w:p w14:paraId="6800D5A8" w14:textId="77777777" w:rsidR="00A11696" w:rsidRPr="00F00878" w:rsidRDefault="00A11696" w:rsidP="00A11696">
            <w:pPr>
              <w:spacing w:before="0" w:after="160" w:line="259" w:lineRule="auto"/>
              <w:rPr>
                <w:rFonts w:eastAsia="Times New Roman" w:cs="Arial"/>
                <w:sz w:val="20"/>
                <w:szCs w:val="20"/>
              </w:rPr>
            </w:pPr>
            <w:r w:rsidRPr="00F00878">
              <w:rPr>
                <w:rFonts w:eastAsia="Times New Roman" w:cs="Arial"/>
                <w:sz w:val="20"/>
                <w:szCs w:val="20"/>
              </w:rPr>
              <w:t>Disengagement from school can negatively impact young people’s educational and employment outcomes in the future.</w:t>
            </w:r>
          </w:p>
          <w:p w14:paraId="03116ACC" w14:textId="32387E6D" w:rsidR="00A11696" w:rsidRPr="00F00878" w:rsidRDefault="00A11696" w:rsidP="00A11696">
            <w:pPr>
              <w:spacing w:before="0" w:after="160" w:line="259" w:lineRule="auto"/>
              <w:rPr>
                <w:rFonts w:eastAsia="Times New Roman" w:cs="Arial"/>
                <w:sz w:val="20"/>
                <w:szCs w:val="20"/>
              </w:rPr>
            </w:pPr>
            <w:r w:rsidRPr="00F00878">
              <w:rPr>
                <w:rFonts w:eastAsia="Times New Roman" w:cs="Arial"/>
                <w:sz w:val="20"/>
                <w:szCs w:val="20"/>
              </w:rPr>
              <w:t>In 2021, approximately one in twelve secondary school students were suspended, with 32,547 short suspensions and 12,505 long suspensions issued</w:t>
            </w:r>
            <w:r w:rsidR="00DB68DB" w:rsidRPr="00F00878">
              <w:rPr>
                <w:rStyle w:val="FootnoteReference"/>
                <w:rFonts w:eastAsia="Times New Roman" w:cs="Arial"/>
                <w:sz w:val="20"/>
                <w:szCs w:val="20"/>
              </w:rPr>
              <w:footnoteReference w:id="9"/>
            </w:r>
            <w:r w:rsidRPr="00F00878">
              <w:rPr>
                <w:rFonts w:eastAsia="Times New Roman" w:cs="Arial"/>
                <w:sz w:val="20"/>
                <w:szCs w:val="20"/>
              </w:rPr>
              <w:t>.</w:t>
            </w:r>
          </w:p>
          <w:p w14:paraId="3F49DFB4" w14:textId="77777777" w:rsidR="00A11696" w:rsidRPr="00F00878" w:rsidRDefault="00A11696" w:rsidP="00A11696">
            <w:pPr>
              <w:spacing w:before="0" w:after="160" w:line="259" w:lineRule="auto"/>
              <w:rPr>
                <w:rFonts w:eastAsia="Times New Roman" w:cs="Arial"/>
                <w:b/>
                <w:bCs/>
                <w:sz w:val="20"/>
                <w:szCs w:val="20"/>
              </w:rPr>
            </w:pPr>
            <w:r w:rsidRPr="00F00878">
              <w:rPr>
                <w:rFonts w:eastAsia="Times New Roman" w:cs="Arial"/>
                <w:b/>
                <w:bCs/>
                <w:sz w:val="20"/>
                <w:szCs w:val="20"/>
              </w:rPr>
              <w:t>Interactions with the justice system</w:t>
            </w:r>
          </w:p>
          <w:p w14:paraId="1017C9DF" w14:textId="4EBED84F" w:rsidR="00A11696" w:rsidRPr="00F00878" w:rsidRDefault="00A11696" w:rsidP="00A11696">
            <w:pPr>
              <w:spacing w:before="0" w:after="160" w:line="259" w:lineRule="auto"/>
              <w:rPr>
                <w:rFonts w:eastAsia="Times New Roman" w:cs="Arial"/>
                <w:sz w:val="20"/>
                <w:szCs w:val="20"/>
              </w:rPr>
            </w:pPr>
            <w:r w:rsidRPr="00F00878">
              <w:rPr>
                <w:rFonts w:eastAsia="Times New Roman" w:cs="Arial"/>
                <w:sz w:val="20"/>
                <w:szCs w:val="20"/>
              </w:rPr>
              <w:t>Young people are more likely to have interactions with the criminal justice system than adults</w:t>
            </w:r>
            <w:r w:rsidR="00DB68DB" w:rsidRPr="00F00878">
              <w:rPr>
                <w:rStyle w:val="FootnoteReference"/>
                <w:rFonts w:eastAsia="Times New Roman" w:cs="Arial"/>
                <w:sz w:val="20"/>
                <w:szCs w:val="20"/>
              </w:rPr>
              <w:footnoteReference w:id="10"/>
            </w:r>
            <w:r w:rsidRPr="00F00878">
              <w:rPr>
                <w:rFonts w:eastAsia="Times New Roman" w:cs="Arial"/>
                <w:sz w:val="20"/>
                <w:szCs w:val="20"/>
              </w:rPr>
              <w:t>.</w:t>
            </w:r>
          </w:p>
          <w:p w14:paraId="7C73D14B" w14:textId="77777777" w:rsidR="00A11696" w:rsidRPr="00F00878" w:rsidRDefault="00A11696" w:rsidP="00A11696">
            <w:pPr>
              <w:spacing w:before="0" w:after="160" w:line="259" w:lineRule="auto"/>
              <w:rPr>
                <w:rFonts w:eastAsia="Times New Roman" w:cs="Arial"/>
                <w:sz w:val="20"/>
                <w:szCs w:val="20"/>
              </w:rPr>
            </w:pPr>
            <w:r w:rsidRPr="00F00878">
              <w:rPr>
                <w:rFonts w:eastAsia="Times New Roman" w:cs="Arial"/>
                <w:sz w:val="20"/>
                <w:szCs w:val="20"/>
              </w:rPr>
              <w:t>The social, educational, emotional, health and safety risks affecting young people make these years critical for increasing engagement and providing early supports.  Strengthening protective factors and responding to known risks and vulnerabilities will enable young people to thrive and reach their full potential.</w:t>
            </w:r>
          </w:p>
          <w:p w14:paraId="0231220F" w14:textId="5F2ADC99" w:rsidR="00A11696" w:rsidRPr="00F00878" w:rsidRDefault="00A11696" w:rsidP="597A4477">
            <w:pPr>
              <w:spacing w:before="0" w:after="160" w:line="259" w:lineRule="auto"/>
              <w:rPr>
                <w:rFonts w:eastAsia="Times New Roman" w:cs="Arial"/>
                <w:sz w:val="20"/>
                <w:szCs w:val="20"/>
              </w:rPr>
            </w:pPr>
            <w:r w:rsidRPr="00F00878">
              <w:rPr>
                <w:rFonts w:eastAsia="Times New Roman" w:cs="Arial"/>
                <w:sz w:val="20"/>
                <w:szCs w:val="20"/>
              </w:rPr>
              <w:t xml:space="preserve">In alignment with the rights-based approach, it is essential that </w:t>
            </w:r>
            <w:r w:rsidR="2529FBA8" w:rsidRPr="00F00878">
              <w:rPr>
                <w:rFonts w:eastAsia="Times New Roman" w:cs="Arial"/>
                <w:sz w:val="20"/>
                <w:szCs w:val="20"/>
              </w:rPr>
              <w:t>young people</w:t>
            </w:r>
            <w:r w:rsidRPr="00F00878">
              <w:rPr>
                <w:rFonts w:eastAsia="Times New Roman" w:cs="Arial"/>
                <w:sz w:val="20"/>
                <w:szCs w:val="20"/>
              </w:rPr>
              <w:t xml:space="preserve"> are involved in the design of these supports and are encouraged to be active members of their community.</w:t>
            </w:r>
          </w:p>
          <w:p w14:paraId="52347974" w14:textId="218BA40A" w:rsidR="0069366F" w:rsidRPr="00F00878" w:rsidRDefault="0069366F" w:rsidP="003C0031">
            <w:pPr>
              <w:rPr>
                <w:rFonts w:cs="Arial"/>
                <w:color w:val="7F7F7F" w:themeColor="text1" w:themeTint="80"/>
                <w:sz w:val="20"/>
                <w:szCs w:val="20"/>
              </w:rPr>
            </w:pPr>
          </w:p>
        </w:tc>
        <w:tc>
          <w:tcPr>
            <w:tcW w:w="3403" w:type="dxa"/>
            <w:vMerge w:val="restart"/>
            <w:shd w:val="clear" w:color="auto" w:fill="F2F2F2" w:themeFill="background1" w:themeFillShade="F2"/>
            <w:noWrap/>
          </w:tcPr>
          <w:p w14:paraId="0209E931" w14:textId="2DC2F5F1" w:rsidR="003C0031" w:rsidRPr="00F00878" w:rsidRDefault="000106F5" w:rsidP="001C0233">
            <w:pPr>
              <w:spacing w:before="0"/>
              <w:rPr>
                <w:rFonts w:cs="Arial"/>
                <w:sz w:val="20"/>
                <w:szCs w:val="20"/>
              </w:rPr>
            </w:pPr>
            <w:r w:rsidRPr="00F00878">
              <w:rPr>
                <w:rFonts w:cs="Arial"/>
                <w:sz w:val="20"/>
                <w:szCs w:val="20"/>
              </w:rPr>
              <w:lastRenderedPageBreak/>
              <w:t xml:space="preserve">Socioemotional wellbeing is essential for our overall health and wellbeing. Socioemotional wellbeing is a state of wellbeing that encompasses personality traits and skills that characterise </w:t>
            </w:r>
            <w:r w:rsidR="3EA6D99C" w:rsidRPr="00F00878">
              <w:rPr>
                <w:rFonts w:cs="Arial"/>
                <w:sz w:val="20"/>
                <w:szCs w:val="20"/>
              </w:rPr>
              <w:t>a person’s</w:t>
            </w:r>
            <w:r w:rsidRPr="00F00878">
              <w:rPr>
                <w:rFonts w:cs="Arial"/>
                <w:sz w:val="20"/>
                <w:szCs w:val="20"/>
              </w:rPr>
              <w:t xml:space="preserve"> relationships in a social environment. </w:t>
            </w:r>
          </w:p>
          <w:p w14:paraId="0E48B66F" w14:textId="3E8FBE14" w:rsidR="000106F5" w:rsidRPr="00F00878" w:rsidRDefault="000106F5" w:rsidP="000106F5">
            <w:pPr>
              <w:rPr>
                <w:rStyle w:val="FootnoteReference"/>
                <w:rFonts w:cs="Arial"/>
                <w:sz w:val="20"/>
                <w:szCs w:val="20"/>
              </w:rPr>
            </w:pPr>
            <w:r w:rsidRPr="00F00878">
              <w:rPr>
                <w:rFonts w:cs="Arial"/>
                <w:sz w:val="20"/>
                <w:szCs w:val="20"/>
              </w:rPr>
              <w:t>Programs that seek to improve socioemotional wellbeing build behavioural and emotional strengths and the ability to adapt and deal with daily challenges and respond positively to adversity while leading a fulfilling life.</w:t>
            </w:r>
            <w:r w:rsidRPr="00F00878">
              <w:rPr>
                <w:rStyle w:val="FootnoteReference"/>
                <w:rFonts w:cs="Arial"/>
                <w:sz w:val="20"/>
                <w:szCs w:val="20"/>
              </w:rPr>
              <w:footnoteReference w:id="11"/>
            </w:r>
          </w:p>
          <w:p w14:paraId="168B6E68" w14:textId="77777777" w:rsidR="000106F5" w:rsidRPr="00F00878" w:rsidRDefault="000106F5" w:rsidP="000106F5">
            <w:pPr>
              <w:rPr>
                <w:rFonts w:cs="Arial"/>
                <w:sz w:val="20"/>
                <w:szCs w:val="20"/>
              </w:rPr>
            </w:pPr>
            <w:r w:rsidRPr="00F00878">
              <w:rPr>
                <w:rFonts w:cs="Arial"/>
                <w:sz w:val="20"/>
                <w:szCs w:val="20"/>
              </w:rPr>
              <w:t>Young people who are socioemotionally well and competent have been found to:</w:t>
            </w:r>
          </w:p>
          <w:p w14:paraId="7E175A74" w14:textId="77777777" w:rsidR="000106F5" w:rsidRPr="00F00878" w:rsidRDefault="000106F5" w:rsidP="000106F5">
            <w:pPr>
              <w:pStyle w:val="ListParagraph"/>
              <w:numPr>
                <w:ilvl w:val="0"/>
                <w:numId w:val="20"/>
              </w:numPr>
              <w:rPr>
                <w:rFonts w:cs="Arial"/>
                <w:sz w:val="20"/>
                <w:szCs w:val="20"/>
              </w:rPr>
            </w:pPr>
            <w:r w:rsidRPr="00F00878">
              <w:rPr>
                <w:rFonts w:cs="Arial"/>
                <w:sz w:val="20"/>
                <w:szCs w:val="20"/>
              </w:rPr>
              <w:t xml:space="preserve">communicate </w:t>
            </w:r>
            <w:proofErr w:type="gramStart"/>
            <w:r w:rsidRPr="00F00878">
              <w:rPr>
                <w:rFonts w:cs="Arial"/>
                <w:sz w:val="20"/>
                <w:szCs w:val="20"/>
              </w:rPr>
              <w:t>well</w:t>
            </w:r>
            <w:proofErr w:type="gramEnd"/>
          </w:p>
          <w:p w14:paraId="60F609B4" w14:textId="77777777" w:rsidR="000106F5" w:rsidRPr="00F00878" w:rsidRDefault="000106F5" w:rsidP="000106F5">
            <w:pPr>
              <w:pStyle w:val="ListParagraph"/>
              <w:numPr>
                <w:ilvl w:val="0"/>
                <w:numId w:val="20"/>
              </w:numPr>
              <w:rPr>
                <w:rFonts w:cs="Arial"/>
                <w:sz w:val="20"/>
                <w:szCs w:val="20"/>
              </w:rPr>
            </w:pPr>
            <w:r w:rsidRPr="00F00878">
              <w:rPr>
                <w:rFonts w:cs="Arial"/>
                <w:sz w:val="20"/>
                <w:szCs w:val="20"/>
              </w:rPr>
              <w:t xml:space="preserve">have healthy </w:t>
            </w:r>
            <w:proofErr w:type="gramStart"/>
            <w:r w:rsidRPr="00F00878">
              <w:rPr>
                <w:rFonts w:cs="Arial"/>
                <w:sz w:val="20"/>
                <w:szCs w:val="20"/>
              </w:rPr>
              <w:t>relationships</w:t>
            </w:r>
            <w:proofErr w:type="gramEnd"/>
          </w:p>
          <w:p w14:paraId="59DF1814" w14:textId="77777777" w:rsidR="000106F5" w:rsidRPr="00F00878" w:rsidRDefault="000106F5" w:rsidP="000106F5">
            <w:pPr>
              <w:pStyle w:val="ListParagraph"/>
              <w:numPr>
                <w:ilvl w:val="0"/>
                <w:numId w:val="20"/>
              </w:numPr>
              <w:rPr>
                <w:rFonts w:cs="Arial"/>
                <w:sz w:val="20"/>
                <w:szCs w:val="20"/>
              </w:rPr>
            </w:pPr>
            <w:r w:rsidRPr="00F00878">
              <w:rPr>
                <w:rFonts w:cs="Arial"/>
                <w:sz w:val="20"/>
                <w:szCs w:val="20"/>
              </w:rPr>
              <w:t xml:space="preserve">be </w:t>
            </w:r>
            <w:proofErr w:type="gramStart"/>
            <w:r w:rsidRPr="00F00878">
              <w:rPr>
                <w:rFonts w:cs="Arial"/>
                <w:sz w:val="20"/>
                <w:szCs w:val="20"/>
              </w:rPr>
              <w:t>confident</w:t>
            </w:r>
            <w:proofErr w:type="gramEnd"/>
          </w:p>
          <w:p w14:paraId="5EABA15D" w14:textId="77777777" w:rsidR="000106F5" w:rsidRPr="00F00878" w:rsidRDefault="000106F5" w:rsidP="000106F5">
            <w:pPr>
              <w:pStyle w:val="ListParagraph"/>
              <w:numPr>
                <w:ilvl w:val="0"/>
                <w:numId w:val="20"/>
              </w:numPr>
              <w:rPr>
                <w:rFonts w:cs="Arial"/>
                <w:sz w:val="20"/>
                <w:szCs w:val="20"/>
              </w:rPr>
            </w:pPr>
            <w:r w:rsidRPr="00F00878">
              <w:rPr>
                <w:rFonts w:cs="Arial"/>
                <w:sz w:val="20"/>
                <w:szCs w:val="20"/>
              </w:rPr>
              <w:t xml:space="preserve">perform better at </w:t>
            </w:r>
            <w:proofErr w:type="gramStart"/>
            <w:r w:rsidRPr="00F00878">
              <w:rPr>
                <w:rFonts w:cs="Arial"/>
                <w:sz w:val="20"/>
                <w:szCs w:val="20"/>
              </w:rPr>
              <w:t>school</w:t>
            </w:r>
            <w:proofErr w:type="gramEnd"/>
          </w:p>
          <w:p w14:paraId="795A4E6A" w14:textId="77777777" w:rsidR="000106F5" w:rsidRPr="00F00878" w:rsidRDefault="000106F5" w:rsidP="000106F5">
            <w:pPr>
              <w:pStyle w:val="ListParagraph"/>
              <w:numPr>
                <w:ilvl w:val="0"/>
                <w:numId w:val="20"/>
              </w:numPr>
              <w:rPr>
                <w:rFonts w:cs="Arial"/>
                <w:sz w:val="20"/>
                <w:szCs w:val="20"/>
              </w:rPr>
            </w:pPr>
            <w:r w:rsidRPr="00F00878">
              <w:rPr>
                <w:rFonts w:cs="Arial"/>
                <w:sz w:val="20"/>
                <w:szCs w:val="20"/>
              </w:rPr>
              <w:t>take on and persist with challenging tasks; and</w:t>
            </w:r>
          </w:p>
          <w:p w14:paraId="187F2C5A" w14:textId="77777777" w:rsidR="000106F5" w:rsidRPr="00F00878" w:rsidRDefault="000106F5" w:rsidP="000106F5">
            <w:pPr>
              <w:pStyle w:val="ListParagraph"/>
              <w:numPr>
                <w:ilvl w:val="0"/>
                <w:numId w:val="20"/>
              </w:numPr>
              <w:rPr>
                <w:rFonts w:cs="Arial"/>
                <w:sz w:val="20"/>
                <w:szCs w:val="20"/>
              </w:rPr>
            </w:pPr>
            <w:r w:rsidRPr="00F00878">
              <w:rPr>
                <w:rFonts w:cs="Arial"/>
                <w:sz w:val="20"/>
                <w:szCs w:val="20"/>
              </w:rPr>
              <w:t>be resilient against life stressors.</w:t>
            </w:r>
            <w:r w:rsidRPr="00F00878">
              <w:rPr>
                <w:rStyle w:val="FootnoteReference"/>
                <w:rFonts w:cs="Arial"/>
                <w:sz w:val="20"/>
                <w:szCs w:val="20"/>
              </w:rPr>
              <w:footnoteReference w:id="12"/>
            </w:r>
          </w:p>
          <w:p w14:paraId="3E4F8A03" w14:textId="00EA52F6" w:rsidR="00CF3A6E" w:rsidRPr="00F00878" w:rsidRDefault="009C4B49" w:rsidP="00EF4E25">
            <w:pPr>
              <w:spacing w:before="0"/>
              <w:rPr>
                <w:rFonts w:cs="Arial"/>
                <w:sz w:val="20"/>
                <w:szCs w:val="20"/>
              </w:rPr>
            </w:pPr>
            <w:r w:rsidRPr="00F00878">
              <w:rPr>
                <w:rFonts w:cs="Arial"/>
                <w:sz w:val="20"/>
                <w:szCs w:val="20"/>
              </w:rPr>
              <w:t xml:space="preserve">Five core components are common across evidence-based programs </w:t>
            </w:r>
            <w:r w:rsidR="00CF3A6E" w:rsidRPr="00F00878">
              <w:rPr>
                <w:rFonts w:cs="Arial"/>
                <w:sz w:val="20"/>
                <w:szCs w:val="20"/>
              </w:rPr>
              <w:t>that foster socioemotional wellbeing</w:t>
            </w:r>
            <w:r w:rsidR="00EC2614" w:rsidRPr="00F00878">
              <w:rPr>
                <w:rFonts w:cs="Arial"/>
                <w:sz w:val="20"/>
                <w:szCs w:val="20"/>
              </w:rPr>
              <w:t xml:space="preserve"> in young people aged 10-24</w:t>
            </w:r>
            <w:r w:rsidR="00CF3A6E" w:rsidRPr="00F00878">
              <w:rPr>
                <w:rFonts w:cs="Arial"/>
                <w:sz w:val="20"/>
                <w:szCs w:val="20"/>
              </w:rPr>
              <w:t>:</w:t>
            </w:r>
          </w:p>
          <w:p w14:paraId="4410C9E5" w14:textId="12F091F7" w:rsidR="00CF3A6E" w:rsidRPr="00F00878" w:rsidRDefault="00ED04C7" w:rsidP="00CF3A6E">
            <w:pPr>
              <w:pStyle w:val="ListParagraph"/>
              <w:numPr>
                <w:ilvl w:val="0"/>
                <w:numId w:val="11"/>
              </w:numPr>
              <w:spacing w:before="120" w:after="120"/>
              <w:rPr>
                <w:rFonts w:cs="Arial"/>
                <w:sz w:val="20"/>
                <w:szCs w:val="20"/>
              </w:rPr>
            </w:pPr>
            <w:r w:rsidRPr="00F00878">
              <w:rPr>
                <w:rFonts w:cs="Arial"/>
                <w:sz w:val="20"/>
                <w:szCs w:val="20"/>
              </w:rPr>
              <w:t>s</w:t>
            </w:r>
            <w:r w:rsidR="00CF3A6E" w:rsidRPr="00F00878">
              <w:rPr>
                <w:rFonts w:cs="Arial"/>
                <w:sz w:val="20"/>
                <w:szCs w:val="20"/>
              </w:rPr>
              <w:t>elf-concept, self-</w:t>
            </w:r>
            <w:proofErr w:type="gramStart"/>
            <w:r w:rsidR="00CF3A6E" w:rsidRPr="00F00878">
              <w:rPr>
                <w:rFonts w:cs="Arial"/>
                <w:sz w:val="20"/>
                <w:szCs w:val="20"/>
              </w:rPr>
              <w:t>efficacy</w:t>
            </w:r>
            <w:proofErr w:type="gramEnd"/>
            <w:r w:rsidR="00CF3A6E" w:rsidRPr="00F00878">
              <w:rPr>
                <w:rFonts w:cs="Arial"/>
                <w:sz w:val="20"/>
                <w:szCs w:val="20"/>
              </w:rPr>
              <w:t xml:space="preserve"> and confidence</w:t>
            </w:r>
          </w:p>
          <w:p w14:paraId="531E38CC" w14:textId="6D9F33F9" w:rsidR="00CF3A6E" w:rsidRPr="00F00878" w:rsidRDefault="00ED04C7" w:rsidP="00CF3A6E">
            <w:pPr>
              <w:pStyle w:val="ListParagraph"/>
              <w:numPr>
                <w:ilvl w:val="0"/>
                <w:numId w:val="11"/>
              </w:numPr>
              <w:spacing w:before="120" w:after="120"/>
              <w:rPr>
                <w:rFonts w:cs="Arial"/>
                <w:sz w:val="20"/>
                <w:szCs w:val="20"/>
              </w:rPr>
            </w:pPr>
            <w:r w:rsidRPr="00F00878">
              <w:rPr>
                <w:rFonts w:cs="Arial"/>
                <w:sz w:val="20"/>
                <w:szCs w:val="20"/>
              </w:rPr>
              <w:t>m</w:t>
            </w:r>
            <w:r w:rsidR="00CF3A6E" w:rsidRPr="00F00878">
              <w:rPr>
                <w:rFonts w:cs="Arial"/>
                <w:sz w:val="20"/>
                <w:szCs w:val="20"/>
              </w:rPr>
              <w:t>indfulness and self-regulation</w:t>
            </w:r>
          </w:p>
          <w:p w14:paraId="4975C572" w14:textId="34D0AD94" w:rsidR="00CF3A6E" w:rsidRPr="00F00878" w:rsidRDefault="00ED04C7" w:rsidP="00CF3A6E">
            <w:pPr>
              <w:pStyle w:val="ListParagraph"/>
              <w:numPr>
                <w:ilvl w:val="0"/>
                <w:numId w:val="11"/>
              </w:numPr>
              <w:spacing w:before="120" w:after="120"/>
              <w:rPr>
                <w:rFonts w:cs="Arial"/>
                <w:sz w:val="20"/>
                <w:szCs w:val="20"/>
              </w:rPr>
            </w:pPr>
            <w:r w:rsidRPr="00F00878">
              <w:rPr>
                <w:rFonts w:cs="Arial"/>
                <w:sz w:val="20"/>
                <w:szCs w:val="20"/>
              </w:rPr>
              <w:t>p</w:t>
            </w:r>
            <w:r w:rsidR="00CF3A6E" w:rsidRPr="00F00878">
              <w:rPr>
                <w:rFonts w:cs="Arial"/>
                <w:sz w:val="20"/>
                <w:szCs w:val="20"/>
              </w:rPr>
              <w:t>rosocial skills and relationship</w:t>
            </w:r>
            <w:r w:rsidR="38C4755A" w:rsidRPr="00F00878">
              <w:rPr>
                <w:rFonts w:cs="Arial"/>
                <w:sz w:val="20"/>
                <w:szCs w:val="20"/>
              </w:rPr>
              <w:t xml:space="preserve"> </w:t>
            </w:r>
            <w:r w:rsidR="00CF3A6E" w:rsidRPr="00F00878">
              <w:rPr>
                <w:rFonts w:cs="Arial"/>
                <w:sz w:val="20"/>
                <w:szCs w:val="20"/>
              </w:rPr>
              <w:t>building</w:t>
            </w:r>
          </w:p>
          <w:p w14:paraId="2A957404" w14:textId="5A87C2C0" w:rsidR="00CF3A6E" w:rsidRPr="00F00878" w:rsidRDefault="00ED04C7" w:rsidP="00CD1E9A">
            <w:pPr>
              <w:pStyle w:val="ListParagraph"/>
              <w:numPr>
                <w:ilvl w:val="0"/>
                <w:numId w:val="11"/>
              </w:numPr>
              <w:spacing w:before="120" w:after="120"/>
              <w:rPr>
                <w:rFonts w:cs="Arial"/>
                <w:sz w:val="20"/>
                <w:szCs w:val="20"/>
              </w:rPr>
            </w:pPr>
            <w:r w:rsidRPr="00F00878">
              <w:rPr>
                <w:rFonts w:cs="Arial"/>
                <w:sz w:val="20"/>
                <w:szCs w:val="20"/>
              </w:rPr>
              <w:t>b</w:t>
            </w:r>
            <w:r w:rsidR="00CF3A6E" w:rsidRPr="00F00878">
              <w:rPr>
                <w:rFonts w:cs="Arial"/>
                <w:sz w:val="20"/>
                <w:szCs w:val="20"/>
              </w:rPr>
              <w:t>uilding motivation and monitoring behavioural change</w:t>
            </w:r>
          </w:p>
          <w:p w14:paraId="1157BDBF" w14:textId="523A3FA2" w:rsidR="009C4B49" w:rsidRPr="00F00878" w:rsidRDefault="00ED04C7" w:rsidP="00CD1E9A">
            <w:pPr>
              <w:pStyle w:val="ListParagraph"/>
              <w:numPr>
                <w:ilvl w:val="0"/>
                <w:numId w:val="11"/>
              </w:numPr>
              <w:spacing w:before="120" w:after="120"/>
              <w:rPr>
                <w:rFonts w:cs="Arial"/>
                <w:sz w:val="20"/>
                <w:szCs w:val="20"/>
              </w:rPr>
            </w:pPr>
            <w:r w:rsidRPr="00F00878">
              <w:rPr>
                <w:rFonts w:cs="Arial"/>
                <w:sz w:val="20"/>
                <w:szCs w:val="20"/>
              </w:rPr>
              <w:lastRenderedPageBreak/>
              <w:t>b</w:t>
            </w:r>
            <w:r w:rsidR="00CF3A6E" w:rsidRPr="00F00878">
              <w:rPr>
                <w:rFonts w:cs="Arial"/>
                <w:sz w:val="20"/>
                <w:szCs w:val="20"/>
              </w:rPr>
              <w:t>uilding knowledge and awareness for socioemotional wellbeing</w:t>
            </w:r>
          </w:p>
          <w:p w14:paraId="4D6417F8" w14:textId="3FDDC773" w:rsidR="009C4B49" w:rsidRPr="0008404C" w:rsidRDefault="00CF3A6E" w:rsidP="00FC2463">
            <w:pPr>
              <w:pStyle w:val="Bullet1"/>
            </w:pPr>
            <w:r w:rsidRPr="00F00878">
              <w:t>(</w:t>
            </w:r>
            <w:r w:rsidRPr="0008404C">
              <w:t xml:space="preserve">DCJ Evidence Portal: </w:t>
            </w:r>
            <w:hyperlink r:id="rId11" w:history="1">
              <w:r w:rsidRPr="00151D20">
                <w:rPr>
                  <w:rStyle w:val="Hyperlink"/>
                  <w:rFonts w:cs="Arial"/>
                </w:rPr>
                <w:t>Youth Socioemotional Wellbeing Evidence Review</w:t>
              </w:r>
            </w:hyperlink>
            <w:r w:rsidRPr="0008404C">
              <w:t>)</w:t>
            </w:r>
          </w:p>
          <w:p w14:paraId="177054C8" w14:textId="77777777" w:rsidR="00F15103" w:rsidRPr="0008404C" w:rsidRDefault="00F15103" w:rsidP="00FC2463">
            <w:pPr>
              <w:pStyle w:val="Bullet1"/>
            </w:pPr>
            <w:r w:rsidRPr="0008404C">
              <w:t>Authentic relationships built on trust and mutual respect form the foundation of good youth work practice, together with having an ecological focus, encouraging personal agency, and fostering alternative possibilities.</w:t>
            </w:r>
          </w:p>
          <w:p w14:paraId="686A0CB1" w14:textId="6850823D" w:rsidR="00F15103" w:rsidRPr="0008404C" w:rsidRDefault="00CA359E" w:rsidP="00FC2463">
            <w:pPr>
              <w:pStyle w:val="Bullet1"/>
            </w:pPr>
            <w:r w:rsidRPr="0008404C">
              <w:t>M</w:t>
            </w:r>
            <w:r w:rsidR="00F15103" w:rsidRPr="0008404C">
              <w:t xml:space="preserve">any youth work interventions directly or indirectly foster empowerment and agency in young people. </w:t>
            </w:r>
            <w:r w:rsidRPr="0008404C">
              <w:t>R</w:t>
            </w:r>
            <w:r w:rsidR="00F15103" w:rsidRPr="0008404C">
              <w:t>ights-based approach</w:t>
            </w:r>
            <w:r w:rsidR="00D45712" w:rsidRPr="0008404C">
              <w:t>e</w:t>
            </w:r>
            <w:r w:rsidRPr="0008404C">
              <w:t>s</w:t>
            </w:r>
            <w:r w:rsidR="00F15103" w:rsidRPr="0008404C">
              <w:t>, and recognition of the need to give primacy to youth voice and participation in decision</w:t>
            </w:r>
            <w:r w:rsidR="142E1AC4" w:rsidRPr="0008404C">
              <w:t xml:space="preserve"> </w:t>
            </w:r>
            <w:r w:rsidR="00F15103" w:rsidRPr="0008404C">
              <w:t>making</w:t>
            </w:r>
            <w:r w:rsidR="00D45712" w:rsidRPr="0008404C">
              <w:t xml:space="preserve"> are critical to </w:t>
            </w:r>
            <w:r w:rsidR="00F15103" w:rsidRPr="0008404C">
              <w:t>empower</w:t>
            </w:r>
            <w:r w:rsidR="00D45712" w:rsidRPr="0008404C">
              <w:t>ing</w:t>
            </w:r>
            <w:r w:rsidR="00F15103" w:rsidRPr="0008404C">
              <w:t xml:space="preserve"> young people </w:t>
            </w:r>
            <w:r w:rsidR="00D45712" w:rsidRPr="0008404C">
              <w:t xml:space="preserve">and </w:t>
            </w:r>
            <w:r w:rsidR="00F15103" w:rsidRPr="0008404C">
              <w:t>safeguarding their rights</w:t>
            </w:r>
            <w:r w:rsidR="001358AA" w:rsidRPr="0008404C">
              <w:t xml:space="preserve">. </w:t>
            </w:r>
          </w:p>
          <w:p w14:paraId="4775D8B0" w14:textId="0A5DC422" w:rsidR="00F15103" w:rsidRPr="0008404C" w:rsidRDefault="00F15103" w:rsidP="00FC2463">
            <w:pPr>
              <w:pStyle w:val="Bullet1"/>
            </w:pPr>
            <w:r w:rsidRPr="0008404C">
              <w:t xml:space="preserve">A synthesis of </w:t>
            </w:r>
            <w:r w:rsidR="009D474D" w:rsidRPr="0008404C">
              <w:t>elemen</w:t>
            </w:r>
            <w:r w:rsidRPr="0008404C">
              <w:t>ts of best practice in youth work include:</w:t>
            </w:r>
          </w:p>
          <w:p w14:paraId="0ED3717C" w14:textId="088F5D82" w:rsidR="00F15103" w:rsidRPr="0008404C" w:rsidRDefault="6EC9904E" w:rsidP="00FC2463">
            <w:pPr>
              <w:pStyle w:val="Bullet1"/>
              <w:numPr>
                <w:ilvl w:val="0"/>
                <w:numId w:val="45"/>
              </w:numPr>
            </w:pPr>
            <w:r w:rsidRPr="0008404C">
              <w:t>c</w:t>
            </w:r>
            <w:r w:rsidR="00F15103" w:rsidRPr="0008404C">
              <w:t>onnectivity: development of programs and services that are long</w:t>
            </w:r>
            <w:r w:rsidR="067FCAD6" w:rsidRPr="0008404C">
              <w:t xml:space="preserve"> </w:t>
            </w:r>
            <w:r w:rsidR="00F15103" w:rsidRPr="0008404C">
              <w:t>term, sustainable and relationship</w:t>
            </w:r>
            <w:r w:rsidR="4E1506F0" w:rsidRPr="0008404C">
              <w:t xml:space="preserve"> </w:t>
            </w:r>
            <w:r w:rsidR="00F15103" w:rsidRPr="0008404C">
              <w:t xml:space="preserve">based, birthed and sourced from within the </w:t>
            </w:r>
            <w:proofErr w:type="gramStart"/>
            <w:r w:rsidR="00F15103" w:rsidRPr="0008404C">
              <w:t>community</w:t>
            </w:r>
            <w:proofErr w:type="gramEnd"/>
          </w:p>
          <w:p w14:paraId="60B5658E" w14:textId="5E3A9DBD" w:rsidR="00F15103" w:rsidRPr="0008404C" w:rsidRDefault="10AEF5EB" w:rsidP="00FC2463">
            <w:pPr>
              <w:pStyle w:val="Bullet1"/>
              <w:numPr>
                <w:ilvl w:val="0"/>
                <w:numId w:val="45"/>
              </w:numPr>
            </w:pPr>
            <w:r w:rsidRPr="0008404C">
              <w:t>s</w:t>
            </w:r>
            <w:r w:rsidR="00F15103" w:rsidRPr="0008404C">
              <w:t xml:space="preserve">trengths-based approach: embracing notions of independence and autonomy among services for young </w:t>
            </w:r>
            <w:proofErr w:type="gramStart"/>
            <w:r w:rsidR="00F15103" w:rsidRPr="0008404C">
              <w:t>people</w:t>
            </w:r>
            <w:proofErr w:type="gramEnd"/>
          </w:p>
          <w:p w14:paraId="2A05EBAD" w14:textId="53CD60CE" w:rsidR="00F15103" w:rsidRPr="0008404C" w:rsidRDefault="46BAED06" w:rsidP="00FC2463">
            <w:pPr>
              <w:pStyle w:val="Bullet1"/>
              <w:numPr>
                <w:ilvl w:val="0"/>
                <w:numId w:val="45"/>
              </w:numPr>
            </w:pPr>
            <w:r w:rsidRPr="0008404C">
              <w:t>c</w:t>
            </w:r>
            <w:r w:rsidR="00F15103" w:rsidRPr="0008404C">
              <w:t xml:space="preserve">apacity building: ability to build capacity in terms of staff professional development, effective research, evaluation and information gathering and sharing, and leadership in the area of governance and </w:t>
            </w:r>
            <w:proofErr w:type="gramStart"/>
            <w:r w:rsidR="00F15103" w:rsidRPr="0008404C">
              <w:t>management</w:t>
            </w:r>
            <w:proofErr w:type="gramEnd"/>
          </w:p>
          <w:p w14:paraId="5B49353E" w14:textId="60FFB27E" w:rsidR="00F15103" w:rsidRPr="0008404C" w:rsidRDefault="631CD069" w:rsidP="00FC2463">
            <w:pPr>
              <w:pStyle w:val="Bullet1"/>
              <w:numPr>
                <w:ilvl w:val="0"/>
                <w:numId w:val="45"/>
              </w:numPr>
            </w:pPr>
            <w:r w:rsidRPr="0008404C">
              <w:t>c</w:t>
            </w:r>
            <w:r w:rsidR="00F15103" w:rsidRPr="0008404C">
              <w:t xml:space="preserve">ontextual and systemic considerations: consideration of macro-contexts including economic, </w:t>
            </w:r>
            <w:proofErr w:type="gramStart"/>
            <w:r w:rsidR="00F15103" w:rsidRPr="0008404C">
              <w:t>political</w:t>
            </w:r>
            <w:proofErr w:type="gramEnd"/>
            <w:r w:rsidR="00F15103" w:rsidRPr="0008404C">
              <w:t xml:space="preserve"> and social and cultural factors.</w:t>
            </w:r>
          </w:p>
          <w:p w14:paraId="3FC6C619" w14:textId="3A18C436" w:rsidR="001E0A4C" w:rsidRPr="00F00878" w:rsidRDefault="001E0A4C" w:rsidP="001E0A4C">
            <w:pPr>
              <w:spacing w:after="120"/>
              <w:rPr>
                <w:rFonts w:cs="Arial"/>
                <w:sz w:val="20"/>
                <w:szCs w:val="20"/>
              </w:rPr>
            </w:pPr>
            <w:r w:rsidRPr="00F00878">
              <w:rPr>
                <w:rFonts w:cs="Arial"/>
              </w:rPr>
              <w:t xml:space="preserve"> </w:t>
            </w:r>
            <w:r w:rsidRPr="00F00878">
              <w:rPr>
                <w:rFonts w:cs="Arial"/>
                <w:sz w:val="20"/>
                <w:szCs w:val="20"/>
              </w:rPr>
              <w:t xml:space="preserve">(DCJ Evidence Portal: </w:t>
            </w:r>
            <w:hyperlink r:id="rId12" w:history="1">
              <w:r w:rsidRPr="00F00878">
                <w:rPr>
                  <w:rStyle w:val="Hyperlink"/>
                  <w:rFonts w:cs="Arial"/>
                  <w:sz w:val="20"/>
                  <w:szCs w:val="20"/>
                </w:rPr>
                <w:t>Agency and Empowerment Evidence Review</w:t>
              </w:r>
            </w:hyperlink>
            <w:r w:rsidRPr="00F00878">
              <w:rPr>
                <w:rFonts w:cs="Arial"/>
                <w:sz w:val="20"/>
                <w:szCs w:val="20"/>
              </w:rPr>
              <w:t>)</w:t>
            </w:r>
          </w:p>
          <w:p w14:paraId="28C41CEC" w14:textId="47AA8E1D" w:rsidR="00ED04C7" w:rsidRPr="00F00878" w:rsidRDefault="00ED04C7" w:rsidP="00FC2463">
            <w:pPr>
              <w:pStyle w:val="Bullet1"/>
            </w:pPr>
          </w:p>
          <w:p w14:paraId="0F777F1C" w14:textId="5F34574D" w:rsidR="00ED04C7" w:rsidRPr="00F00878" w:rsidRDefault="00ED04C7" w:rsidP="00FC2463">
            <w:pPr>
              <w:pStyle w:val="Bullet1"/>
            </w:pPr>
          </w:p>
          <w:p w14:paraId="3F970050" w14:textId="5C3B6862" w:rsidR="009C4B49" w:rsidRPr="00F00878" w:rsidRDefault="009C4B49" w:rsidP="007F3E2F">
            <w:pPr>
              <w:spacing w:before="120"/>
              <w:rPr>
                <w:rFonts w:cs="Arial"/>
                <w:sz w:val="20"/>
                <w:szCs w:val="20"/>
              </w:rPr>
            </w:pPr>
          </w:p>
          <w:p w14:paraId="2E5C4CFF" w14:textId="71E61151" w:rsidR="009C4B49" w:rsidRPr="00F00878" w:rsidRDefault="009C4B49" w:rsidP="003A1C2D">
            <w:pPr>
              <w:spacing w:before="120"/>
              <w:rPr>
                <w:rFonts w:cs="Arial"/>
                <w:sz w:val="20"/>
                <w:szCs w:val="20"/>
              </w:rPr>
            </w:pPr>
          </w:p>
        </w:tc>
        <w:tc>
          <w:tcPr>
            <w:tcW w:w="5527" w:type="dxa"/>
            <w:vMerge w:val="restart"/>
            <w:shd w:val="clear" w:color="auto" w:fill="F2F2F2" w:themeFill="background1" w:themeFillShade="F2"/>
            <w:noWrap/>
          </w:tcPr>
          <w:p w14:paraId="0F6AFDA2" w14:textId="782EF107" w:rsidR="009C4B49" w:rsidRPr="00F00878" w:rsidRDefault="009C4B49" w:rsidP="0038389F">
            <w:pPr>
              <w:pStyle w:val="Heading-Activitiesandservices"/>
            </w:pPr>
            <w:r w:rsidRPr="00F00878">
              <w:lastRenderedPageBreak/>
              <w:t>The following</w:t>
            </w:r>
            <w:r w:rsidR="00714894" w:rsidRPr="00F00878">
              <w:t xml:space="preserve"> </w:t>
            </w:r>
            <w:hyperlink r:id="rId13" w:history="1">
              <w:r w:rsidR="00714894" w:rsidRPr="00F00878">
                <w:rPr>
                  <w:rStyle w:val="Hyperlink"/>
                </w:rPr>
                <w:t>five core components</w:t>
              </w:r>
            </w:hyperlink>
            <w:r w:rsidRPr="00F00878">
              <w:t xml:space="preserve"> </w:t>
            </w:r>
            <w:r w:rsidR="00EC2614" w:rsidRPr="00F00878">
              <w:t>are essential to</w:t>
            </w:r>
            <w:r w:rsidR="00971A86" w:rsidRPr="00F00878">
              <w:t xml:space="preserve"> fostering socioemotional wellbeing</w:t>
            </w:r>
            <w:r w:rsidR="00EC2614" w:rsidRPr="00F00878">
              <w:t xml:space="preserve"> outcomes for young people aged 10-24</w:t>
            </w:r>
            <w:r w:rsidRPr="00F00878">
              <w:t>.</w:t>
            </w:r>
          </w:p>
          <w:p w14:paraId="61580615" w14:textId="67C34E57" w:rsidR="009C4B49" w:rsidRPr="0038389F" w:rsidRDefault="009C4B49" w:rsidP="0038389F">
            <w:pPr>
              <w:pStyle w:val="Heading-Activitiesandservices"/>
            </w:pPr>
            <w:r w:rsidRPr="0038389F">
              <w:t>These components can be tailored to the local</w:t>
            </w:r>
            <w:r w:rsidR="00F46D10" w:rsidRPr="0038389F">
              <w:t xml:space="preserve"> needs of communities</w:t>
            </w:r>
            <w:r w:rsidR="00CB3D7E" w:rsidRPr="0038389F">
              <w:t xml:space="preserve">, </w:t>
            </w:r>
            <w:r w:rsidR="00F46D10" w:rsidRPr="0038389F">
              <w:t>the individual preferences of clients</w:t>
            </w:r>
            <w:r w:rsidR="00CB3D7E" w:rsidRPr="0038389F">
              <w:t xml:space="preserve">, </w:t>
            </w:r>
            <w:r w:rsidR="00F46D10" w:rsidRPr="0038389F">
              <w:t xml:space="preserve">and </w:t>
            </w:r>
            <w:r w:rsidRPr="0038389F">
              <w:t xml:space="preserve">availability of service system resources (including referral pathways). Each core component has </w:t>
            </w:r>
            <w:hyperlink r:id="rId14" w:history="1">
              <w:r w:rsidRPr="0038389F">
                <w:rPr>
                  <w:rStyle w:val="Hyperlink"/>
                </w:rPr>
                <w:t>flexible activities</w:t>
              </w:r>
            </w:hyperlink>
            <w:r w:rsidRPr="0038389F">
              <w:t xml:space="preserve"> that describe </w:t>
            </w:r>
            <w:r w:rsidR="004020FF" w:rsidRPr="0038389F">
              <w:t>different ways i</w:t>
            </w:r>
            <w:r w:rsidRPr="0038389F">
              <w:t xml:space="preserve">t can be implemented. </w:t>
            </w:r>
          </w:p>
          <w:p w14:paraId="41F12D0E" w14:textId="2B91E0C7" w:rsidR="007948C6" w:rsidRPr="0038389F" w:rsidRDefault="007948C6" w:rsidP="0038389F">
            <w:pPr>
              <w:pStyle w:val="Heading-Activitiesandservices"/>
            </w:pPr>
            <w:r w:rsidRPr="0038389F">
              <w:t>The core components are:</w:t>
            </w:r>
          </w:p>
          <w:p w14:paraId="100C8B62" w14:textId="0897C586" w:rsidR="009C4B49" w:rsidRPr="00F00878" w:rsidRDefault="0038389F" w:rsidP="000B3340">
            <w:pPr>
              <w:pStyle w:val="ListParagraph"/>
              <w:numPr>
                <w:ilvl w:val="0"/>
                <w:numId w:val="7"/>
              </w:numPr>
              <w:spacing w:before="0" w:after="0"/>
              <w:ind w:left="357" w:hanging="357"/>
              <w:rPr>
                <w:rFonts w:cs="Arial"/>
                <w:b/>
                <w:sz w:val="20"/>
                <w:szCs w:val="20"/>
              </w:rPr>
            </w:pPr>
            <w:hyperlink r:id="rId15" w:history="1">
              <w:r w:rsidR="00971A86" w:rsidRPr="00F00878">
                <w:rPr>
                  <w:rFonts w:cs="Arial"/>
                  <w:b/>
                  <w:sz w:val="20"/>
                  <w:szCs w:val="20"/>
                </w:rPr>
                <w:t>Self-concept,</w:t>
              </w:r>
            </w:hyperlink>
            <w:r w:rsidR="00971A86" w:rsidRPr="00F00878">
              <w:rPr>
                <w:rStyle w:val="Hyperlink"/>
                <w:rFonts w:cs="Arial"/>
                <w:b/>
                <w:sz w:val="20"/>
                <w:szCs w:val="20"/>
              </w:rPr>
              <w:t xml:space="preserve"> </w:t>
            </w:r>
            <w:r w:rsidR="00971A86" w:rsidRPr="00F00878">
              <w:rPr>
                <w:rFonts w:cs="Arial"/>
                <w:b/>
                <w:sz w:val="20"/>
                <w:szCs w:val="20"/>
              </w:rPr>
              <w:t>self-efficacy and confidence</w:t>
            </w:r>
          </w:p>
          <w:p w14:paraId="497B6510" w14:textId="084BF539" w:rsidR="00B25AD8" w:rsidRPr="0038389F" w:rsidRDefault="00B25AD8" w:rsidP="0038389F">
            <w:pPr>
              <w:pStyle w:val="Heading-Activitiesandservices"/>
            </w:pPr>
            <w:r w:rsidRPr="0038389F">
              <w:t>Self-concept, self-efficacy</w:t>
            </w:r>
            <w:r w:rsidRPr="0038389F">
              <w:rPr>
                <w:rStyle w:val="FootnoteReference"/>
              </w:rPr>
              <w:footnoteReference w:id="13"/>
            </w:r>
            <w:r w:rsidRPr="0038389F">
              <w:t xml:space="preserve"> and confidence is achieved through positive self-identity, body </w:t>
            </w:r>
            <w:r w:rsidR="2D6E7580" w:rsidRPr="0038389F">
              <w:t>image, cultural</w:t>
            </w:r>
            <w:r w:rsidRPr="0038389F">
              <w:t xml:space="preserve"> </w:t>
            </w:r>
            <w:proofErr w:type="gramStart"/>
            <w:r w:rsidRPr="0038389F">
              <w:t>connectedness</w:t>
            </w:r>
            <w:proofErr w:type="gramEnd"/>
            <w:r w:rsidRPr="0038389F">
              <w:t xml:space="preserve"> </w:t>
            </w:r>
            <w:r w:rsidR="19F4A3D7" w:rsidRPr="0038389F">
              <w:t>and</w:t>
            </w:r>
            <w:r w:rsidRPr="0038389F">
              <w:t xml:space="preserve"> identity.</w:t>
            </w:r>
          </w:p>
          <w:p w14:paraId="0F47FCDB" w14:textId="181AFC3B" w:rsidR="001C5728" w:rsidRPr="00F00878" w:rsidRDefault="00971A86" w:rsidP="00E30F5C">
            <w:pPr>
              <w:pStyle w:val="ListParagraph"/>
              <w:numPr>
                <w:ilvl w:val="0"/>
                <w:numId w:val="7"/>
              </w:numPr>
              <w:spacing w:before="0" w:after="0"/>
              <w:ind w:left="357" w:hanging="357"/>
              <w:rPr>
                <w:rFonts w:cs="Arial"/>
                <w:b/>
                <w:sz w:val="20"/>
                <w:szCs w:val="20"/>
              </w:rPr>
            </w:pPr>
            <w:r w:rsidRPr="00F00878">
              <w:rPr>
                <w:rFonts w:cs="Arial"/>
                <w:b/>
                <w:sz w:val="20"/>
                <w:szCs w:val="20"/>
              </w:rPr>
              <w:t>Mindfulness and self-regulation</w:t>
            </w:r>
          </w:p>
          <w:p w14:paraId="7AF1FF57" w14:textId="3EDF157C" w:rsidR="00B25AD8" w:rsidRDefault="00B25AD8" w:rsidP="001C5728">
            <w:pPr>
              <w:spacing w:before="0" w:after="0"/>
              <w:rPr>
                <w:rFonts w:cs="Arial"/>
                <w:sz w:val="20"/>
                <w:szCs w:val="20"/>
              </w:rPr>
            </w:pPr>
            <w:r w:rsidRPr="00F00878">
              <w:rPr>
                <w:rFonts w:cs="Arial"/>
                <w:sz w:val="20"/>
                <w:szCs w:val="20"/>
              </w:rPr>
              <w:t>This provides strategies to enable self-regulation, stress management and emotional regulation.</w:t>
            </w:r>
          </w:p>
          <w:p w14:paraId="3E6AE6FB" w14:textId="77777777" w:rsidR="0038389F" w:rsidRPr="00F00878" w:rsidRDefault="0038389F" w:rsidP="001C5728">
            <w:pPr>
              <w:spacing w:before="0" w:after="0"/>
              <w:rPr>
                <w:rFonts w:cs="Arial"/>
                <w:b/>
                <w:sz w:val="20"/>
                <w:szCs w:val="20"/>
              </w:rPr>
            </w:pPr>
          </w:p>
          <w:p w14:paraId="3FA917F4" w14:textId="02EFA90B" w:rsidR="009C4B49" w:rsidRPr="00F00878" w:rsidRDefault="00971A86" w:rsidP="0E4B8E82">
            <w:pPr>
              <w:pStyle w:val="ListParagraph"/>
              <w:numPr>
                <w:ilvl w:val="0"/>
                <w:numId w:val="7"/>
              </w:numPr>
              <w:spacing w:before="0" w:after="0"/>
              <w:ind w:left="357" w:hanging="357"/>
              <w:rPr>
                <w:rStyle w:val="Hyperlink"/>
                <w:rFonts w:cs="Arial"/>
                <w:b/>
                <w:bCs/>
                <w:color w:val="auto"/>
                <w:sz w:val="20"/>
                <w:szCs w:val="20"/>
                <w:u w:val="none"/>
              </w:rPr>
            </w:pPr>
            <w:r w:rsidRPr="00F00878">
              <w:rPr>
                <w:rFonts w:cs="Arial"/>
                <w:b/>
                <w:bCs/>
                <w:sz w:val="20"/>
                <w:szCs w:val="20"/>
              </w:rPr>
              <w:t>Prosocial skills and relationship</w:t>
            </w:r>
            <w:r w:rsidR="0B858CC5" w:rsidRPr="00F00878">
              <w:rPr>
                <w:rFonts w:cs="Arial"/>
                <w:b/>
                <w:bCs/>
                <w:sz w:val="20"/>
                <w:szCs w:val="20"/>
              </w:rPr>
              <w:t xml:space="preserve"> </w:t>
            </w:r>
            <w:r w:rsidRPr="00F00878">
              <w:rPr>
                <w:rFonts w:cs="Arial"/>
                <w:b/>
                <w:bCs/>
                <w:sz w:val="20"/>
                <w:szCs w:val="20"/>
              </w:rPr>
              <w:t>building</w:t>
            </w:r>
            <w:r w:rsidR="00B311B9" w:rsidRPr="00F00878">
              <w:rPr>
                <w:rFonts w:cs="Arial"/>
                <w:sz w:val="20"/>
                <w:szCs w:val="20"/>
              </w:rPr>
              <w:t xml:space="preserve"> </w:t>
            </w:r>
          </w:p>
          <w:p w14:paraId="46F7AE1D" w14:textId="332D691B" w:rsidR="00B25AD8" w:rsidRPr="00F00878" w:rsidRDefault="00B865AA" w:rsidP="0038389F">
            <w:pPr>
              <w:pStyle w:val="Heading-Activitiesandservices"/>
            </w:pPr>
            <w:r w:rsidRPr="00F00878">
              <w:t>B</w:t>
            </w:r>
            <w:r w:rsidR="00B25AD8" w:rsidRPr="00F00878">
              <w:t>uild social skills required to positively interact with peers and community members through fostering communication and engaged learning with others.</w:t>
            </w:r>
          </w:p>
          <w:p w14:paraId="51C445F1" w14:textId="70865DFF" w:rsidR="009C4B49" w:rsidRPr="00F00878" w:rsidRDefault="00971A86" w:rsidP="00A637AB">
            <w:pPr>
              <w:pStyle w:val="ListParagraph"/>
              <w:numPr>
                <w:ilvl w:val="0"/>
                <w:numId w:val="7"/>
              </w:numPr>
              <w:spacing w:before="0" w:after="0"/>
              <w:ind w:left="357" w:hanging="357"/>
              <w:rPr>
                <w:rFonts w:cs="Arial"/>
                <w:b/>
                <w:sz w:val="20"/>
                <w:szCs w:val="20"/>
              </w:rPr>
            </w:pPr>
            <w:r w:rsidRPr="00F00878">
              <w:rPr>
                <w:rFonts w:cs="Arial"/>
                <w:b/>
                <w:sz w:val="20"/>
                <w:szCs w:val="20"/>
              </w:rPr>
              <w:t>Building motivation and monitoring behavioural change</w:t>
            </w:r>
          </w:p>
          <w:p w14:paraId="7998AB17" w14:textId="7BF8B064" w:rsidR="00B25AD8" w:rsidRPr="00F00878" w:rsidRDefault="00B865AA" w:rsidP="0038389F">
            <w:pPr>
              <w:pStyle w:val="Heading-Activitiesandservices"/>
            </w:pPr>
            <w:r w:rsidRPr="00F00878">
              <w:t>M</w:t>
            </w:r>
            <w:r w:rsidR="00B25AD8" w:rsidRPr="00F00878">
              <w:t>otivate behavioural change or attitude and</w:t>
            </w:r>
            <w:r w:rsidRPr="00F00878">
              <w:t xml:space="preserve"> </w:t>
            </w:r>
            <w:r w:rsidR="00B25AD8" w:rsidRPr="00F00878">
              <w:t>monitor and document behavioural changes over time.</w:t>
            </w:r>
          </w:p>
          <w:p w14:paraId="46346C44" w14:textId="3BA443E8" w:rsidR="009C4B49" w:rsidRPr="0008404C" w:rsidRDefault="009C4B49" w:rsidP="0008404C">
            <w:pPr>
              <w:pStyle w:val="ListParagraph"/>
              <w:numPr>
                <w:ilvl w:val="0"/>
                <w:numId w:val="7"/>
              </w:numPr>
              <w:spacing w:before="0" w:after="0"/>
              <w:ind w:left="357" w:hanging="357"/>
              <w:rPr>
                <w:rFonts w:cs="Arial"/>
                <w:b/>
                <w:sz w:val="20"/>
                <w:szCs w:val="20"/>
              </w:rPr>
            </w:pPr>
            <w:r w:rsidRPr="0008404C">
              <w:rPr>
                <w:rFonts w:cs="Arial"/>
                <w:b/>
                <w:noProof/>
                <w:sz w:val="20"/>
                <w:szCs w:val="20"/>
              </w:rPr>
              <w:drawing>
                <wp:anchor distT="0" distB="0" distL="114300" distR="114300" simplePos="0" relativeHeight="251658752" behindDoc="0" locked="0" layoutInCell="1" allowOverlap="1" wp14:anchorId="66E30C7D" wp14:editId="2F630362">
                  <wp:simplePos x="0" y="0"/>
                  <wp:positionH relativeFrom="column">
                    <wp:posOffset>1905</wp:posOffset>
                  </wp:positionH>
                  <wp:positionV relativeFrom="paragraph">
                    <wp:posOffset>9802495</wp:posOffset>
                  </wp:positionV>
                  <wp:extent cx="1295997" cy="86418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rotWithShape="1">
                          <a:blip r:embed="rId16">
                            <a:extLst>
                              <a:ext uri="{28A0092B-C50C-407E-A947-70E740481C1C}">
                                <a14:useLocalDpi xmlns:a14="http://schemas.microsoft.com/office/drawing/2010/main" val="0"/>
                              </a:ext>
                            </a:extLst>
                          </a:blip>
                          <a:srcRect t="91912" r="82846"/>
                          <a:stretch/>
                        </pic:blipFill>
                        <pic:spPr bwMode="auto">
                          <a:xfrm>
                            <a:off x="0" y="0"/>
                            <a:ext cx="1295997" cy="864187"/>
                          </a:xfrm>
                          <a:prstGeom prst="rect">
                            <a:avLst/>
                          </a:prstGeom>
                          <a:ln>
                            <a:noFill/>
                          </a:ln>
                          <a:extLst>
                            <a:ext uri="{53640926-AAD7-44D8-BBD7-CCE9431645EC}">
                              <a14:shadowObscured xmlns:a14="http://schemas.microsoft.com/office/drawing/2010/main"/>
                            </a:ext>
                          </a:extLst>
                        </pic:spPr>
                      </pic:pic>
                    </a:graphicData>
                  </a:graphic>
                </wp:anchor>
              </w:drawing>
            </w:r>
            <w:hyperlink r:id="rId17" w:history="1">
              <w:r w:rsidRPr="0008404C">
                <w:rPr>
                  <w:rFonts w:cs="Arial"/>
                  <w:b/>
                  <w:sz w:val="20"/>
                  <w:szCs w:val="20"/>
                </w:rPr>
                <w:t>Building</w:t>
              </w:r>
            </w:hyperlink>
            <w:r w:rsidR="00971A86" w:rsidRPr="0008404C">
              <w:rPr>
                <w:rFonts w:cs="Arial"/>
                <w:b/>
                <w:sz w:val="20"/>
                <w:szCs w:val="20"/>
              </w:rPr>
              <w:t xml:space="preserve"> knowledge and awareness for socioemotional wellbeing</w:t>
            </w:r>
          </w:p>
          <w:p w14:paraId="51516675" w14:textId="4F6F8C76" w:rsidR="002B106A" w:rsidRPr="008177AA" w:rsidRDefault="00122D8D" w:rsidP="0038389F">
            <w:pPr>
              <w:pStyle w:val="Heading-Activitiesandservices"/>
            </w:pPr>
            <w:r w:rsidRPr="00F00878">
              <w:t>S</w:t>
            </w:r>
            <w:r w:rsidR="00B25AD8" w:rsidRPr="00F00878">
              <w:t xml:space="preserve">tructured or unstructured learning and </w:t>
            </w:r>
            <w:r w:rsidR="00B25AD8" w:rsidRPr="008177AA">
              <w:t>development activities that underpin the other core components</w:t>
            </w:r>
            <w:r w:rsidR="008177AA" w:rsidRPr="008177AA">
              <w:t xml:space="preserve"> a</w:t>
            </w:r>
            <w:r w:rsidR="006B6B2E" w:rsidRPr="008177AA">
              <w:t xml:space="preserve">nd are </w:t>
            </w:r>
            <w:r w:rsidR="15738A88" w:rsidRPr="008177AA">
              <w:t>delivered through</w:t>
            </w:r>
            <w:r w:rsidR="441653FB" w:rsidRPr="008177AA">
              <w:t xml:space="preserve"> the following service types</w:t>
            </w:r>
            <w:r w:rsidR="15738A88" w:rsidRPr="008177AA">
              <w:t>:</w:t>
            </w:r>
          </w:p>
          <w:p w14:paraId="7E225F7D" w14:textId="66A2F8C1" w:rsidR="00E0768D" w:rsidRPr="0008404C" w:rsidRDefault="15738A88" w:rsidP="0038389F">
            <w:pPr>
              <w:pStyle w:val="Bullet1"/>
              <w:numPr>
                <w:ilvl w:val="0"/>
                <w:numId w:val="50"/>
              </w:numPr>
            </w:pPr>
            <w:r w:rsidRPr="0008404C">
              <w:t>Counselling</w:t>
            </w:r>
          </w:p>
          <w:p w14:paraId="020805A4" w14:textId="77777777" w:rsidR="0008404C" w:rsidRDefault="15738A88" w:rsidP="0038389F">
            <w:pPr>
              <w:pStyle w:val="Bullet1"/>
              <w:numPr>
                <w:ilvl w:val="0"/>
                <w:numId w:val="50"/>
              </w:numPr>
            </w:pPr>
            <w:r w:rsidRPr="0008404C">
              <w:t>Education, skills training</w:t>
            </w:r>
          </w:p>
          <w:p w14:paraId="714FA40B" w14:textId="77777777" w:rsidR="0008404C" w:rsidRPr="0008404C" w:rsidRDefault="15738A88" w:rsidP="0038389F">
            <w:pPr>
              <w:pStyle w:val="Bullet1"/>
              <w:numPr>
                <w:ilvl w:val="0"/>
                <w:numId w:val="50"/>
              </w:numPr>
              <w:rPr>
                <w:sz w:val="22"/>
                <w:szCs w:val="24"/>
              </w:rPr>
            </w:pPr>
            <w:r w:rsidRPr="0008404C">
              <w:t xml:space="preserve">Information, </w:t>
            </w:r>
            <w:proofErr w:type="gramStart"/>
            <w:r w:rsidRPr="0008404C">
              <w:t>advice</w:t>
            </w:r>
            <w:proofErr w:type="gramEnd"/>
            <w:r w:rsidRPr="0008404C">
              <w:t xml:space="preserve"> and referral </w:t>
            </w:r>
          </w:p>
          <w:p w14:paraId="154C9BF9" w14:textId="485EA0E7" w:rsidR="15738A88" w:rsidRPr="0008404C" w:rsidRDefault="15738A88" w:rsidP="0038389F">
            <w:pPr>
              <w:pStyle w:val="Bullet1"/>
              <w:numPr>
                <w:ilvl w:val="0"/>
                <w:numId w:val="50"/>
              </w:numPr>
            </w:pPr>
            <w:r w:rsidRPr="0008404C">
              <w:t xml:space="preserve">Mentoring and peer support </w:t>
            </w:r>
          </w:p>
          <w:p w14:paraId="76515C9B" w14:textId="0681B628" w:rsidR="15738A88" w:rsidRPr="00F00878" w:rsidRDefault="15738A88" w:rsidP="0038389F">
            <w:pPr>
              <w:pStyle w:val="Bullet1"/>
              <w:numPr>
                <w:ilvl w:val="0"/>
                <w:numId w:val="50"/>
              </w:numPr>
            </w:pPr>
            <w:r w:rsidRPr="00F00878">
              <w:t>Specialist support</w:t>
            </w:r>
          </w:p>
          <w:p w14:paraId="5D5FA910" w14:textId="10B715F8" w:rsidR="15738A88" w:rsidRPr="00F00878" w:rsidRDefault="15738A88" w:rsidP="0038389F">
            <w:pPr>
              <w:pStyle w:val="Bullet1"/>
              <w:numPr>
                <w:ilvl w:val="0"/>
                <w:numId w:val="50"/>
              </w:numPr>
            </w:pPr>
            <w:r w:rsidRPr="00F00878">
              <w:t xml:space="preserve">Youth individualised support </w:t>
            </w:r>
          </w:p>
          <w:p w14:paraId="2602977F" w14:textId="732FBD05" w:rsidR="002B106A" w:rsidRPr="00F00878" w:rsidRDefault="002B106A" w:rsidP="00FC2463">
            <w:pPr>
              <w:pStyle w:val="Bullet1"/>
            </w:pPr>
          </w:p>
        </w:tc>
        <w:tc>
          <w:tcPr>
            <w:tcW w:w="2540" w:type="dxa"/>
            <w:vMerge w:val="restart"/>
            <w:shd w:val="clear" w:color="auto" w:fill="F2F2F2" w:themeFill="background1" w:themeFillShade="F2"/>
            <w:noWrap/>
          </w:tcPr>
          <w:p w14:paraId="4C7ABA34" w14:textId="0CDB09C8" w:rsidR="009C4B49" w:rsidRPr="00F00878" w:rsidRDefault="00FA735E" w:rsidP="001C0233">
            <w:pPr>
              <w:spacing w:before="0" w:after="0"/>
              <w:rPr>
                <w:rFonts w:cs="Arial"/>
                <w:sz w:val="20"/>
                <w:szCs w:val="20"/>
              </w:rPr>
            </w:pPr>
            <w:r w:rsidRPr="00F00878">
              <w:rPr>
                <w:rFonts w:cs="Arial"/>
                <w:sz w:val="20"/>
                <w:szCs w:val="20"/>
                <w:lang w:val="en-GB"/>
              </w:rPr>
              <w:lastRenderedPageBreak/>
              <w:t>As per contracted service deliverables</w:t>
            </w:r>
          </w:p>
        </w:tc>
        <w:tc>
          <w:tcPr>
            <w:tcW w:w="4831" w:type="dxa"/>
            <w:shd w:val="clear" w:color="auto" w:fill="F2F2F2" w:themeFill="background1" w:themeFillShade="F2"/>
          </w:tcPr>
          <w:p w14:paraId="6D80B542" w14:textId="77777777" w:rsidR="007360B9" w:rsidRPr="00F00878" w:rsidRDefault="007360B9" w:rsidP="00EF4E25">
            <w:pPr>
              <w:spacing w:before="0"/>
              <w:rPr>
                <w:rFonts w:cs="Arial"/>
                <w:sz w:val="20"/>
                <w:szCs w:val="20"/>
              </w:rPr>
            </w:pPr>
            <w:r w:rsidRPr="00F00878">
              <w:rPr>
                <w:rFonts w:cs="Arial"/>
                <w:sz w:val="20"/>
                <w:szCs w:val="20"/>
              </w:rPr>
              <w:t>Young people who are socioemotionally well and competent have been found to:</w:t>
            </w:r>
          </w:p>
          <w:p w14:paraId="7DB6A21A" w14:textId="77777777" w:rsidR="007360B9" w:rsidRPr="00F00878" w:rsidRDefault="007360B9" w:rsidP="007360B9">
            <w:pPr>
              <w:pStyle w:val="ListParagraph"/>
              <w:numPr>
                <w:ilvl w:val="0"/>
                <w:numId w:val="20"/>
              </w:numPr>
              <w:rPr>
                <w:rFonts w:cs="Arial"/>
                <w:sz w:val="20"/>
                <w:szCs w:val="20"/>
              </w:rPr>
            </w:pPr>
            <w:r w:rsidRPr="00F00878">
              <w:rPr>
                <w:rFonts w:cs="Arial"/>
                <w:sz w:val="20"/>
                <w:szCs w:val="20"/>
              </w:rPr>
              <w:t xml:space="preserve">communicate </w:t>
            </w:r>
            <w:proofErr w:type="gramStart"/>
            <w:r w:rsidRPr="00F00878">
              <w:rPr>
                <w:rFonts w:cs="Arial"/>
                <w:sz w:val="20"/>
                <w:szCs w:val="20"/>
              </w:rPr>
              <w:t>well</w:t>
            </w:r>
            <w:proofErr w:type="gramEnd"/>
          </w:p>
          <w:p w14:paraId="6275CCD5" w14:textId="77777777" w:rsidR="007360B9" w:rsidRPr="00F00878" w:rsidRDefault="007360B9" w:rsidP="007360B9">
            <w:pPr>
              <w:pStyle w:val="ListParagraph"/>
              <w:numPr>
                <w:ilvl w:val="0"/>
                <w:numId w:val="20"/>
              </w:numPr>
              <w:rPr>
                <w:rFonts w:cs="Arial"/>
                <w:sz w:val="20"/>
                <w:szCs w:val="20"/>
              </w:rPr>
            </w:pPr>
            <w:r w:rsidRPr="00F00878">
              <w:rPr>
                <w:rFonts w:cs="Arial"/>
                <w:sz w:val="20"/>
                <w:szCs w:val="20"/>
              </w:rPr>
              <w:t xml:space="preserve">have healthy </w:t>
            </w:r>
            <w:proofErr w:type="gramStart"/>
            <w:r w:rsidRPr="00F00878">
              <w:rPr>
                <w:rFonts w:cs="Arial"/>
                <w:sz w:val="20"/>
                <w:szCs w:val="20"/>
              </w:rPr>
              <w:t>relationships</w:t>
            </w:r>
            <w:proofErr w:type="gramEnd"/>
          </w:p>
          <w:p w14:paraId="5C3FFE4A" w14:textId="77777777" w:rsidR="007360B9" w:rsidRPr="00F00878" w:rsidRDefault="007360B9" w:rsidP="007360B9">
            <w:pPr>
              <w:pStyle w:val="ListParagraph"/>
              <w:numPr>
                <w:ilvl w:val="0"/>
                <w:numId w:val="20"/>
              </w:numPr>
              <w:rPr>
                <w:rFonts w:cs="Arial"/>
                <w:sz w:val="20"/>
                <w:szCs w:val="20"/>
              </w:rPr>
            </w:pPr>
            <w:r w:rsidRPr="00F00878">
              <w:rPr>
                <w:rFonts w:cs="Arial"/>
                <w:sz w:val="20"/>
                <w:szCs w:val="20"/>
              </w:rPr>
              <w:t xml:space="preserve">be </w:t>
            </w:r>
            <w:proofErr w:type="gramStart"/>
            <w:r w:rsidRPr="00F00878">
              <w:rPr>
                <w:rFonts w:cs="Arial"/>
                <w:sz w:val="20"/>
                <w:szCs w:val="20"/>
              </w:rPr>
              <w:t>confident</w:t>
            </w:r>
            <w:proofErr w:type="gramEnd"/>
          </w:p>
          <w:p w14:paraId="1E0B40D7" w14:textId="77777777" w:rsidR="007360B9" w:rsidRPr="00F00878" w:rsidRDefault="007360B9" w:rsidP="007360B9">
            <w:pPr>
              <w:pStyle w:val="ListParagraph"/>
              <w:numPr>
                <w:ilvl w:val="0"/>
                <w:numId w:val="20"/>
              </w:numPr>
              <w:rPr>
                <w:rFonts w:cs="Arial"/>
                <w:sz w:val="20"/>
                <w:szCs w:val="20"/>
              </w:rPr>
            </w:pPr>
            <w:r w:rsidRPr="00F00878">
              <w:rPr>
                <w:rFonts w:cs="Arial"/>
                <w:sz w:val="20"/>
                <w:szCs w:val="20"/>
              </w:rPr>
              <w:t xml:space="preserve">perform better at </w:t>
            </w:r>
            <w:proofErr w:type="gramStart"/>
            <w:r w:rsidRPr="00F00878">
              <w:rPr>
                <w:rFonts w:cs="Arial"/>
                <w:sz w:val="20"/>
                <w:szCs w:val="20"/>
              </w:rPr>
              <w:t>school</w:t>
            </w:r>
            <w:proofErr w:type="gramEnd"/>
          </w:p>
          <w:p w14:paraId="30C3376C" w14:textId="77777777" w:rsidR="007360B9" w:rsidRPr="00F00878" w:rsidRDefault="007360B9" w:rsidP="007360B9">
            <w:pPr>
              <w:pStyle w:val="ListParagraph"/>
              <w:numPr>
                <w:ilvl w:val="0"/>
                <w:numId w:val="20"/>
              </w:numPr>
              <w:rPr>
                <w:rFonts w:cs="Arial"/>
                <w:sz w:val="20"/>
                <w:szCs w:val="20"/>
              </w:rPr>
            </w:pPr>
            <w:r w:rsidRPr="00F00878">
              <w:rPr>
                <w:rFonts w:cs="Arial"/>
                <w:sz w:val="20"/>
                <w:szCs w:val="20"/>
              </w:rPr>
              <w:t>take on and persist with challenging tasks; and</w:t>
            </w:r>
          </w:p>
          <w:p w14:paraId="4C31F05E" w14:textId="77777777" w:rsidR="007360B9" w:rsidRPr="00F00878" w:rsidRDefault="007360B9" w:rsidP="007360B9">
            <w:pPr>
              <w:pStyle w:val="ListParagraph"/>
              <w:numPr>
                <w:ilvl w:val="0"/>
                <w:numId w:val="20"/>
              </w:numPr>
              <w:rPr>
                <w:rFonts w:cs="Arial"/>
                <w:sz w:val="20"/>
                <w:szCs w:val="20"/>
              </w:rPr>
            </w:pPr>
            <w:r w:rsidRPr="00F00878">
              <w:rPr>
                <w:rFonts w:cs="Arial"/>
                <w:sz w:val="20"/>
                <w:szCs w:val="20"/>
              </w:rPr>
              <w:t>be resilient against life stressors.</w:t>
            </w:r>
            <w:r w:rsidRPr="00F00878">
              <w:rPr>
                <w:rStyle w:val="FootnoteReference"/>
                <w:rFonts w:cs="Arial"/>
                <w:sz w:val="20"/>
                <w:szCs w:val="20"/>
              </w:rPr>
              <w:footnoteReference w:id="14"/>
            </w:r>
          </w:p>
          <w:p w14:paraId="5678AB2B" w14:textId="7E3435D9" w:rsidR="0051254C" w:rsidRPr="00F00878" w:rsidRDefault="0051254C" w:rsidP="0051254C">
            <w:pPr>
              <w:spacing w:before="0" w:after="120"/>
              <w:rPr>
                <w:rFonts w:cs="Arial"/>
                <w:b/>
                <w:sz w:val="20"/>
                <w:szCs w:val="20"/>
              </w:rPr>
            </w:pPr>
            <w:r w:rsidRPr="00F00878">
              <w:rPr>
                <w:rFonts w:cs="Arial"/>
                <w:b/>
                <w:sz w:val="20"/>
                <w:szCs w:val="20"/>
              </w:rPr>
              <w:t>Self-concept, self-</w:t>
            </w:r>
            <w:proofErr w:type="gramStart"/>
            <w:r w:rsidRPr="00F00878">
              <w:rPr>
                <w:rFonts w:cs="Arial"/>
                <w:b/>
                <w:sz w:val="20"/>
                <w:szCs w:val="20"/>
              </w:rPr>
              <w:t>efficacy</w:t>
            </w:r>
            <w:proofErr w:type="gramEnd"/>
            <w:r w:rsidRPr="00F00878">
              <w:rPr>
                <w:rFonts w:cs="Arial"/>
                <w:b/>
                <w:sz w:val="20"/>
                <w:szCs w:val="20"/>
              </w:rPr>
              <w:t xml:space="preserve"> and confidence</w:t>
            </w:r>
          </w:p>
          <w:p w14:paraId="6673169B" w14:textId="50EF41F8" w:rsidR="007360B9" w:rsidRPr="00F00878" w:rsidRDefault="0051254C" w:rsidP="009D42F9">
            <w:pPr>
              <w:spacing w:before="0" w:after="0"/>
              <w:rPr>
                <w:rFonts w:cs="Arial"/>
                <w:sz w:val="20"/>
                <w:szCs w:val="20"/>
              </w:rPr>
            </w:pPr>
            <w:r w:rsidRPr="00F00878">
              <w:rPr>
                <w:rFonts w:cs="Arial"/>
                <w:sz w:val="20"/>
                <w:szCs w:val="20"/>
              </w:rPr>
              <w:t>Build</w:t>
            </w:r>
            <w:r w:rsidR="009D42F9" w:rsidRPr="00F00878">
              <w:rPr>
                <w:rFonts w:cs="Arial"/>
                <w:sz w:val="20"/>
                <w:szCs w:val="20"/>
              </w:rPr>
              <w:t>ing</w:t>
            </w:r>
            <w:r w:rsidRPr="00F00878">
              <w:rPr>
                <w:rFonts w:cs="Arial"/>
                <w:sz w:val="20"/>
                <w:szCs w:val="20"/>
              </w:rPr>
              <w:t xml:space="preserve"> self-awareness and skills critical to dealing with difficult situations, embracing connection to self and culture, and fostering autonomy and independence</w:t>
            </w:r>
            <w:r w:rsidR="009D42F9" w:rsidRPr="00F00878">
              <w:rPr>
                <w:rFonts w:cs="Arial"/>
                <w:sz w:val="20"/>
                <w:szCs w:val="20"/>
              </w:rPr>
              <w:t xml:space="preserve"> is critical for young peoples</w:t>
            </w:r>
            <w:r w:rsidR="0D451A3B" w:rsidRPr="00F00878">
              <w:rPr>
                <w:rFonts w:cs="Arial"/>
                <w:sz w:val="20"/>
                <w:szCs w:val="20"/>
              </w:rPr>
              <w:t>’</w:t>
            </w:r>
            <w:r w:rsidR="009D42F9" w:rsidRPr="00F00878">
              <w:rPr>
                <w:rFonts w:cs="Arial"/>
                <w:sz w:val="20"/>
                <w:szCs w:val="20"/>
              </w:rPr>
              <w:t xml:space="preserve"> self-concept, self-</w:t>
            </w:r>
            <w:proofErr w:type="gramStart"/>
            <w:r w:rsidR="009D42F9" w:rsidRPr="00F00878">
              <w:rPr>
                <w:rFonts w:cs="Arial"/>
                <w:sz w:val="20"/>
                <w:szCs w:val="20"/>
              </w:rPr>
              <w:t>efficacy</w:t>
            </w:r>
            <w:proofErr w:type="gramEnd"/>
            <w:r w:rsidR="009D42F9" w:rsidRPr="00F00878">
              <w:rPr>
                <w:rFonts w:cs="Arial"/>
                <w:sz w:val="20"/>
                <w:szCs w:val="20"/>
              </w:rPr>
              <w:t xml:space="preserve"> and confidence</w:t>
            </w:r>
            <w:r w:rsidRPr="00F00878">
              <w:rPr>
                <w:rFonts w:cs="Arial"/>
                <w:sz w:val="20"/>
                <w:szCs w:val="20"/>
              </w:rPr>
              <w:t xml:space="preserve">. </w:t>
            </w:r>
          </w:p>
          <w:p w14:paraId="28EE0E0E" w14:textId="77777777" w:rsidR="009D42F9" w:rsidRPr="00F00878" w:rsidRDefault="009D42F9" w:rsidP="009D42F9">
            <w:pPr>
              <w:spacing w:before="0" w:after="0"/>
              <w:rPr>
                <w:rFonts w:cs="Arial"/>
                <w:sz w:val="20"/>
                <w:szCs w:val="20"/>
              </w:rPr>
            </w:pPr>
          </w:p>
          <w:p w14:paraId="24BDA716" w14:textId="77777777" w:rsidR="009D42F9" w:rsidRPr="00F00878" w:rsidRDefault="002A5383" w:rsidP="00D40FC5">
            <w:pPr>
              <w:spacing w:before="0" w:after="120"/>
              <w:rPr>
                <w:rFonts w:cs="Arial"/>
                <w:b/>
                <w:sz w:val="20"/>
                <w:szCs w:val="20"/>
              </w:rPr>
            </w:pPr>
            <w:r w:rsidRPr="00F00878">
              <w:rPr>
                <w:rFonts w:cs="Arial"/>
                <w:b/>
                <w:sz w:val="20"/>
                <w:szCs w:val="20"/>
              </w:rPr>
              <w:t>Mindfulness and self-regulation</w:t>
            </w:r>
          </w:p>
          <w:p w14:paraId="6DD3283D" w14:textId="6D624B3B" w:rsidR="002A5383" w:rsidRPr="00F00878" w:rsidRDefault="00D40FC5" w:rsidP="00D40FC5">
            <w:pPr>
              <w:spacing w:before="0" w:after="0"/>
              <w:rPr>
                <w:rFonts w:cs="Arial"/>
                <w:sz w:val="20"/>
                <w:szCs w:val="20"/>
              </w:rPr>
            </w:pPr>
            <w:r w:rsidRPr="00F00878">
              <w:rPr>
                <w:rFonts w:cs="Arial"/>
                <w:sz w:val="20"/>
                <w:szCs w:val="20"/>
              </w:rPr>
              <w:t xml:space="preserve">Honing body awareness and strategies for calming the body, managing </w:t>
            </w:r>
            <w:proofErr w:type="gramStart"/>
            <w:r w:rsidRPr="00F00878">
              <w:rPr>
                <w:rFonts w:cs="Arial"/>
                <w:sz w:val="20"/>
                <w:szCs w:val="20"/>
              </w:rPr>
              <w:t>emotions</w:t>
            </w:r>
            <w:proofErr w:type="gramEnd"/>
            <w:r w:rsidRPr="00F00878">
              <w:rPr>
                <w:rFonts w:cs="Arial"/>
                <w:sz w:val="20"/>
                <w:szCs w:val="20"/>
              </w:rPr>
              <w:t xml:space="preserve"> and relieving stress is critical for young peoples</w:t>
            </w:r>
            <w:r w:rsidR="4E6A8FFE" w:rsidRPr="00F00878">
              <w:rPr>
                <w:rFonts w:cs="Arial"/>
                <w:sz w:val="20"/>
                <w:szCs w:val="20"/>
              </w:rPr>
              <w:t>’</w:t>
            </w:r>
            <w:r w:rsidRPr="00F00878">
              <w:rPr>
                <w:rFonts w:cs="Arial"/>
                <w:sz w:val="20"/>
                <w:szCs w:val="20"/>
              </w:rPr>
              <w:t xml:space="preserve"> mindfulness and self-regulation. </w:t>
            </w:r>
          </w:p>
          <w:p w14:paraId="7F0D5D1C" w14:textId="77777777" w:rsidR="00D40FC5" w:rsidRPr="00F00878" w:rsidRDefault="00D40FC5" w:rsidP="00D40FC5">
            <w:pPr>
              <w:spacing w:before="0" w:after="0"/>
              <w:rPr>
                <w:rFonts w:cs="Arial"/>
                <w:sz w:val="20"/>
                <w:szCs w:val="20"/>
              </w:rPr>
            </w:pPr>
          </w:p>
          <w:p w14:paraId="0FB4E574" w14:textId="77777777" w:rsidR="001762C7" w:rsidRPr="00F00878" w:rsidRDefault="00D40FC5" w:rsidP="00F608DB">
            <w:pPr>
              <w:spacing w:before="0" w:after="120"/>
              <w:rPr>
                <w:rFonts w:cs="Arial"/>
                <w:color w:val="333333"/>
                <w:sz w:val="20"/>
                <w:szCs w:val="20"/>
                <w:shd w:val="clear" w:color="auto" w:fill="FFFFFF"/>
              </w:rPr>
            </w:pPr>
            <w:r w:rsidRPr="00F00878">
              <w:rPr>
                <w:rFonts w:cs="Arial"/>
                <w:b/>
                <w:bCs/>
                <w:sz w:val="20"/>
                <w:szCs w:val="20"/>
              </w:rPr>
              <w:t>Prosocial skills and relationship-building</w:t>
            </w:r>
            <w:r w:rsidR="00335B4C" w:rsidRPr="00F00878">
              <w:rPr>
                <w:rFonts w:cs="Arial"/>
                <w:color w:val="333333"/>
                <w:sz w:val="20"/>
                <w:szCs w:val="20"/>
                <w:shd w:val="clear" w:color="auto" w:fill="FFFFFF"/>
              </w:rPr>
              <w:t xml:space="preserve"> </w:t>
            </w:r>
          </w:p>
          <w:p w14:paraId="14A2A8C1" w14:textId="6A4C6468" w:rsidR="00D40FC5" w:rsidRPr="00F00878" w:rsidRDefault="00335B4C" w:rsidP="00F608DB">
            <w:pPr>
              <w:spacing w:before="0" w:after="120"/>
              <w:rPr>
                <w:rFonts w:cs="Arial"/>
                <w:sz w:val="20"/>
                <w:szCs w:val="20"/>
              </w:rPr>
            </w:pPr>
            <w:r w:rsidRPr="00F00878">
              <w:rPr>
                <w:rFonts w:cs="Arial"/>
                <w:sz w:val="20"/>
                <w:szCs w:val="20"/>
              </w:rPr>
              <w:t>Build social skills required to positively interact with peers and community members through fostering communication and engaged learning with others. Peer learning and support activities where young people learn with their peers. Engagement with community and skill-building critical to establishing and maintaining healthy relationships.</w:t>
            </w:r>
          </w:p>
          <w:p w14:paraId="3FCC271A" w14:textId="77777777" w:rsidR="00D40FC5" w:rsidRPr="00F00878" w:rsidRDefault="00D40FC5" w:rsidP="00D40FC5">
            <w:pPr>
              <w:spacing w:before="0" w:after="0"/>
              <w:rPr>
                <w:rFonts w:cs="Arial"/>
                <w:sz w:val="20"/>
                <w:szCs w:val="20"/>
              </w:rPr>
            </w:pPr>
          </w:p>
          <w:p w14:paraId="277F1E0A" w14:textId="77777777" w:rsidR="00D40FC5" w:rsidRPr="00F00878" w:rsidRDefault="00D40FC5" w:rsidP="000104FC">
            <w:pPr>
              <w:spacing w:before="0" w:after="120"/>
              <w:rPr>
                <w:rFonts w:cs="Arial"/>
                <w:b/>
                <w:sz w:val="20"/>
                <w:szCs w:val="20"/>
              </w:rPr>
            </w:pPr>
            <w:r w:rsidRPr="00F00878">
              <w:rPr>
                <w:rFonts w:cs="Arial"/>
                <w:b/>
                <w:sz w:val="20"/>
                <w:szCs w:val="20"/>
              </w:rPr>
              <w:t>Building motivation and monitoring behavioural change</w:t>
            </w:r>
          </w:p>
          <w:p w14:paraId="3BDE9433" w14:textId="1C4F6BC3" w:rsidR="00C01FAD" w:rsidRPr="00F00878" w:rsidRDefault="00C01FAD" w:rsidP="00C01FAD">
            <w:pPr>
              <w:rPr>
                <w:rFonts w:cs="Arial"/>
                <w:sz w:val="20"/>
                <w:szCs w:val="20"/>
              </w:rPr>
            </w:pPr>
            <w:r w:rsidRPr="00F00878">
              <w:rPr>
                <w:rFonts w:cs="Arial"/>
                <w:color w:val="333333"/>
                <w:sz w:val="20"/>
                <w:szCs w:val="20"/>
                <w:shd w:val="clear" w:color="auto" w:fill="FFFFFF"/>
              </w:rPr>
              <w:t xml:space="preserve"> </w:t>
            </w:r>
            <w:r w:rsidRPr="00F00878">
              <w:rPr>
                <w:rFonts w:cs="Arial"/>
                <w:sz w:val="20"/>
                <w:szCs w:val="20"/>
              </w:rPr>
              <w:t>Motivate a behavioural change or attitude and/or monitor and document behavioural changes over time. Encourage young people to consider and change otherwise risky behavioural choices, or to plan to make healthy choices that promote their socioemotional wellbeing.</w:t>
            </w:r>
          </w:p>
          <w:p w14:paraId="1B463948" w14:textId="64E8474F" w:rsidR="000104FC" w:rsidRPr="00F00878" w:rsidRDefault="000104FC" w:rsidP="00D40FC5">
            <w:pPr>
              <w:spacing w:before="0" w:after="0"/>
              <w:rPr>
                <w:rFonts w:cs="Arial"/>
                <w:sz w:val="20"/>
                <w:szCs w:val="20"/>
              </w:rPr>
            </w:pPr>
          </w:p>
        </w:tc>
        <w:tc>
          <w:tcPr>
            <w:tcW w:w="3283" w:type="dxa"/>
            <w:vMerge w:val="restart"/>
            <w:shd w:val="clear" w:color="auto" w:fill="F2F2F2" w:themeFill="background1" w:themeFillShade="F2"/>
          </w:tcPr>
          <w:p w14:paraId="5CB4B5A3" w14:textId="77777777" w:rsidR="002856D6" w:rsidRPr="00F00878" w:rsidRDefault="002856D6" w:rsidP="002856D6">
            <w:pPr>
              <w:spacing w:before="0"/>
              <w:rPr>
                <w:rStyle w:val="Strong"/>
                <w:rFonts w:cs="Arial"/>
                <w:sz w:val="20"/>
                <w:szCs w:val="20"/>
              </w:rPr>
            </w:pPr>
            <w:r w:rsidRPr="00F00878">
              <w:rPr>
                <w:rStyle w:val="Strong"/>
                <w:rFonts w:cs="Arial"/>
                <w:sz w:val="20"/>
                <w:szCs w:val="20"/>
              </w:rPr>
              <w:t>Empowerment</w:t>
            </w:r>
          </w:p>
          <w:p w14:paraId="1BA916BE" w14:textId="19D04DB3" w:rsidR="002856D6" w:rsidRPr="00F00878" w:rsidRDefault="70C6D29B" w:rsidP="00FC2463">
            <w:pPr>
              <w:pStyle w:val="Bullet1"/>
            </w:pPr>
            <w:r w:rsidRPr="00F00878">
              <w:t>i</w:t>
            </w:r>
            <w:r w:rsidR="002856D6" w:rsidRPr="00F00878">
              <w:t xml:space="preserve">ncreased client reported </w:t>
            </w:r>
            <w:proofErr w:type="gramStart"/>
            <w:r w:rsidR="002856D6" w:rsidRPr="00F00878">
              <w:t>self-determination</w:t>
            </w:r>
            <w:proofErr w:type="gramEnd"/>
          </w:p>
          <w:p w14:paraId="0ED94870" w14:textId="77777777" w:rsidR="002856D6" w:rsidRPr="00F00878" w:rsidRDefault="002856D6" w:rsidP="002856D6">
            <w:pPr>
              <w:spacing w:before="120"/>
              <w:rPr>
                <w:rStyle w:val="Strong"/>
                <w:rFonts w:cs="Arial"/>
                <w:sz w:val="20"/>
                <w:szCs w:val="20"/>
              </w:rPr>
            </w:pPr>
            <w:r w:rsidRPr="00F00878">
              <w:rPr>
                <w:rStyle w:val="Strong"/>
                <w:rFonts w:cs="Arial"/>
                <w:sz w:val="20"/>
                <w:szCs w:val="20"/>
              </w:rPr>
              <w:t>Social and Community</w:t>
            </w:r>
          </w:p>
          <w:p w14:paraId="40BCBB9E" w14:textId="210ACA25" w:rsidR="002856D6" w:rsidRPr="00F00878" w:rsidRDefault="01C56524" w:rsidP="00FC2463">
            <w:pPr>
              <w:pStyle w:val="Bullet1"/>
            </w:pPr>
            <w:r w:rsidRPr="00F00878">
              <w:t>i</w:t>
            </w:r>
            <w:r w:rsidR="002856D6" w:rsidRPr="00F00878">
              <w:t>ncreased participation in community events</w:t>
            </w:r>
          </w:p>
          <w:p w14:paraId="23766874" w14:textId="21118F9A" w:rsidR="002856D6" w:rsidRPr="00F00878" w:rsidRDefault="14349A20" w:rsidP="00FC2463">
            <w:pPr>
              <w:pStyle w:val="Bullet1"/>
            </w:pPr>
            <w:r w:rsidRPr="00F00878">
              <w:t>i</w:t>
            </w:r>
            <w:r w:rsidR="002856D6" w:rsidRPr="00F00878">
              <w:t>ncreased sense of belonging to their community</w:t>
            </w:r>
          </w:p>
          <w:p w14:paraId="49094FE3" w14:textId="77777777" w:rsidR="002856D6" w:rsidRPr="00F00878" w:rsidRDefault="002856D6" w:rsidP="002856D6">
            <w:pPr>
              <w:spacing w:before="120"/>
              <w:rPr>
                <w:rStyle w:val="Strong"/>
                <w:rFonts w:cs="Arial"/>
                <w:sz w:val="20"/>
                <w:szCs w:val="20"/>
              </w:rPr>
            </w:pPr>
            <w:r w:rsidRPr="00F00878">
              <w:rPr>
                <w:rStyle w:val="Strong"/>
                <w:rFonts w:cs="Arial"/>
                <w:sz w:val="20"/>
                <w:szCs w:val="20"/>
              </w:rPr>
              <w:t>Education and Skills</w:t>
            </w:r>
          </w:p>
          <w:p w14:paraId="054A8D7D" w14:textId="649DEF7D" w:rsidR="002856D6" w:rsidRPr="00F00878" w:rsidRDefault="1D92AE95" w:rsidP="00FC2463">
            <w:pPr>
              <w:pStyle w:val="Bullet1"/>
            </w:pPr>
            <w:r w:rsidRPr="00F00878">
              <w:t>i</w:t>
            </w:r>
            <w:r w:rsidR="002856D6" w:rsidRPr="00F00878">
              <w:t xml:space="preserve">ncreased school attendance and achievement </w:t>
            </w:r>
          </w:p>
          <w:p w14:paraId="1822959B" w14:textId="77777777" w:rsidR="002856D6" w:rsidRPr="00F00878" w:rsidRDefault="002856D6" w:rsidP="002856D6">
            <w:pPr>
              <w:spacing w:before="120"/>
              <w:rPr>
                <w:rStyle w:val="Strong"/>
                <w:rFonts w:cs="Arial"/>
                <w:sz w:val="20"/>
                <w:szCs w:val="20"/>
              </w:rPr>
            </w:pPr>
            <w:r w:rsidRPr="00F00878">
              <w:rPr>
                <w:rStyle w:val="Strong"/>
                <w:rFonts w:cs="Arial"/>
                <w:sz w:val="20"/>
                <w:szCs w:val="20"/>
              </w:rPr>
              <w:t>Economic</w:t>
            </w:r>
          </w:p>
          <w:p w14:paraId="01D220B2" w14:textId="359C882F" w:rsidR="002856D6" w:rsidRPr="00F00878" w:rsidRDefault="45109461" w:rsidP="00FC2463">
            <w:pPr>
              <w:pStyle w:val="Bullet1"/>
            </w:pPr>
            <w:r w:rsidRPr="00F00878">
              <w:t>s</w:t>
            </w:r>
            <w:r w:rsidR="002856D6" w:rsidRPr="00F00878">
              <w:t>ustained participation in employment</w:t>
            </w:r>
          </w:p>
          <w:p w14:paraId="753D07C8" w14:textId="77777777" w:rsidR="002856D6" w:rsidRPr="00F00878" w:rsidRDefault="002856D6" w:rsidP="002856D6">
            <w:pPr>
              <w:spacing w:before="120"/>
              <w:rPr>
                <w:rStyle w:val="Strong"/>
                <w:rFonts w:cs="Arial"/>
                <w:sz w:val="20"/>
                <w:szCs w:val="20"/>
              </w:rPr>
            </w:pPr>
            <w:r w:rsidRPr="00F00878">
              <w:rPr>
                <w:rStyle w:val="Strong"/>
                <w:rFonts w:cs="Arial"/>
                <w:sz w:val="20"/>
                <w:szCs w:val="20"/>
              </w:rPr>
              <w:t>Safety</w:t>
            </w:r>
          </w:p>
          <w:p w14:paraId="503C05A5" w14:textId="77777777" w:rsidR="00A74362" w:rsidRPr="00A74362" w:rsidRDefault="406723CA" w:rsidP="00FC2463">
            <w:pPr>
              <w:pStyle w:val="Bullet1"/>
              <w:rPr>
                <w:rFonts w:cs="Arial"/>
              </w:rPr>
            </w:pPr>
            <w:r w:rsidRPr="00F00878">
              <w:t>r</w:t>
            </w:r>
            <w:r w:rsidR="002856D6" w:rsidRPr="00F00878">
              <w:t xml:space="preserve">educed risk of entry into the child protection </w:t>
            </w:r>
            <w:r w:rsidR="5D0EFB96" w:rsidRPr="00F00878">
              <w:t xml:space="preserve">and justice </w:t>
            </w:r>
            <w:r w:rsidR="002856D6" w:rsidRPr="00F00878">
              <w:t>system</w:t>
            </w:r>
            <w:r w:rsidR="64A13ABB" w:rsidRPr="00F00878">
              <w:t>s</w:t>
            </w:r>
          </w:p>
          <w:p w14:paraId="2C2FB40C" w14:textId="5FF9D265" w:rsidR="00A74362" w:rsidRPr="00A74362" w:rsidRDefault="00A74362" w:rsidP="00FC2463">
            <w:pPr>
              <w:pStyle w:val="Bullet1"/>
            </w:pPr>
            <w:r w:rsidRPr="00A74362">
              <w:t xml:space="preserve">increased safety from </w:t>
            </w:r>
            <w:r w:rsidR="005A452A">
              <w:t>Family Violence</w:t>
            </w:r>
            <w:r w:rsidRPr="00A74362">
              <w:t xml:space="preserve"> and (longer term) reduced rates of</w:t>
            </w:r>
            <w:r w:rsidR="005A452A">
              <w:t xml:space="preserve"> Family Violence</w:t>
            </w:r>
            <w:r w:rsidRPr="00A74362">
              <w:t>.</w:t>
            </w:r>
          </w:p>
          <w:p w14:paraId="37B9BA36" w14:textId="77777777" w:rsidR="00B03C49" w:rsidRDefault="00B03C49" w:rsidP="00FC2463">
            <w:pPr>
              <w:pStyle w:val="Bullet1"/>
            </w:pPr>
          </w:p>
          <w:p w14:paraId="2ABE8511" w14:textId="77777777" w:rsidR="002856D6" w:rsidRPr="00F00878" w:rsidRDefault="002856D6" w:rsidP="002856D6">
            <w:pPr>
              <w:spacing w:before="120"/>
              <w:rPr>
                <w:rStyle w:val="Strong"/>
                <w:rFonts w:cs="Arial"/>
                <w:sz w:val="20"/>
                <w:szCs w:val="20"/>
              </w:rPr>
            </w:pPr>
            <w:r w:rsidRPr="00F00878">
              <w:rPr>
                <w:rStyle w:val="Strong"/>
                <w:rFonts w:cs="Arial"/>
                <w:sz w:val="20"/>
                <w:szCs w:val="20"/>
              </w:rPr>
              <w:t>Health</w:t>
            </w:r>
          </w:p>
          <w:p w14:paraId="6A03A927" w14:textId="574A5EF0" w:rsidR="002856D6" w:rsidRPr="00F00878" w:rsidRDefault="7ED65B4D" w:rsidP="00FC2463">
            <w:pPr>
              <w:pStyle w:val="Bullet1"/>
            </w:pPr>
            <w:r w:rsidRPr="00F00878">
              <w:t>i</w:t>
            </w:r>
            <w:r w:rsidR="002856D6" w:rsidRPr="00F00878">
              <w:t>mproved health of children and young people</w:t>
            </w:r>
          </w:p>
          <w:p w14:paraId="297D1E0D" w14:textId="468193DC" w:rsidR="002856D6" w:rsidRPr="00F00878" w:rsidRDefault="2B038D8B" w:rsidP="00FC2463">
            <w:pPr>
              <w:pStyle w:val="Bullet1"/>
            </w:pPr>
            <w:r w:rsidRPr="00F00878">
              <w:t>i</w:t>
            </w:r>
            <w:r w:rsidR="002856D6" w:rsidRPr="00F00878">
              <w:t xml:space="preserve">mproved parental </w:t>
            </w:r>
            <w:proofErr w:type="gramStart"/>
            <w:r w:rsidR="002856D6" w:rsidRPr="00F00878">
              <w:t>health</w:t>
            </w:r>
            <w:proofErr w:type="gramEnd"/>
          </w:p>
          <w:p w14:paraId="3FF6AD3E" w14:textId="77777777" w:rsidR="002856D6" w:rsidRPr="00F00878" w:rsidRDefault="002856D6" w:rsidP="002856D6">
            <w:pPr>
              <w:spacing w:before="120"/>
              <w:rPr>
                <w:rStyle w:val="Strong"/>
                <w:rFonts w:cs="Arial"/>
                <w:sz w:val="20"/>
                <w:szCs w:val="20"/>
              </w:rPr>
            </w:pPr>
            <w:r w:rsidRPr="00F00878">
              <w:rPr>
                <w:rStyle w:val="Strong"/>
                <w:rFonts w:cs="Arial"/>
                <w:sz w:val="20"/>
                <w:szCs w:val="20"/>
              </w:rPr>
              <w:t>Home</w:t>
            </w:r>
          </w:p>
          <w:p w14:paraId="5823B96C" w14:textId="07044941" w:rsidR="009C4B49" w:rsidRPr="00F00878" w:rsidRDefault="794714E6" w:rsidP="00FC2463">
            <w:pPr>
              <w:pStyle w:val="Bullet1"/>
              <w:rPr>
                <w:rStyle w:val="Strong"/>
                <w:rFonts w:cs="Arial"/>
              </w:rPr>
            </w:pPr>
            <w:r w:rsidRPr="00F00878">
              <w:rPr>
                <w:rFonts w:cs="Arial"/>
              </w:rPr>
              <w:t>s</w:t>
            </w:r>
            <w:r w:rsidR="002856D6" w:rsidRPr="00F00878">
              <w:rPr>
                <w:rFonts w:cs="Arial"/>
              </w:rPr>
              <w:t>ustained safe and stable housing</w:t>
            </w:r>
          </w:p>
        </w:tc>
      </w:tr>
      <w:tr w:rsidR="009C4B49" w:rsidRPr="00F00878" w14:paraId="5B93C435" w14:textId="77777777" w:rsidTr="31669C8E">
        <w:trPr>
          <w:cantSplit/>
          <w:trHeight w:val="11346"/>
          <w:jc w:val="center"/>
        </w:trPr>
        <w:tc>
          <w:tcPr>
            <w:tcW w:w="3096" w:type="dxa"/>
            <w:vMerge/>
          </w:tcPr>
          <w:p w14:paraId="4D5A9E61" w14:textId="77777777" w:rsidR="009C4B49" w:rsidRPr="00F00878" w:rsidRDefault="009C4B49" w:rsidP="00AA172E">
            <w:pPr>
              <w:spacing w:before="100" w:beforeAutospacing="1" w:after="100" w:afterAutospacing="1"/>
              <w:rPr>
                <w:rFonts w:cs="Arial"/>
                <w:color w:val="7F7F7F" w:themeColor="text1" w:themeTint="80"/>
                <w:sz w:val="20"/>
                <w:szCs w:val="20"/>
              </w:rPr>
            </w:pPr>
          </w:p>
        </w:tc>
        <w:tc>
          <w:tcPr>
            <w:tcW w:w="3403" w:type="dxa"/>
            <w:vMerge/>
            <w:noWrap/>
          </w:tcPr>
          <w:p w14:paraId="287ABD51" w14:textId="77777777" w:rsidR="009C4B49" w:rsidRPr="00F00878" w:rsidRDefault="009C4B49" w:rsidP="0038389F">
            <w:pPr>
              <w:pStyle w:val="Heading-Activitiesandservices"/>
            </w:pPr>
          </w:p>
        </w:tc>
        <w:tc>
          <w:tcPr>
            <w:tcW w:w="5527" w:type="dxa"/>
            <w:vMerge/>
            <w:noWrap/>
          </w:tcPr>
          <w:p w14:paraId="07BD8A3F" w14:textId="77777777" w:rsidR="009C4B49" w:rsidRPr="00F00878" w:rsidRDefault="009C4B49" w:rsidP="00AA172E">
            <w:pPr>
              <w:spacing w:before="120" w:after="120"/>
              <w:rPr>
                <w:rFonts w:cs="Arial"/>
                <w:sz w:val="20"/>
                <w:szCs w:val="20"/>
              </w:rPr>
            </w:pPr>
          </w:p>
        </w:tc>
        <w:tc>
          <w:tcPr>
            <w:tcW w:w="2540" w:type="dxa"/>
            <w:vMerge/>
            <w:noWrap/>
          </w:tcPr>
          <w:p w14:paraId="0D6D40BF" w14:textId="77777777" w:rsidR="009C4B49" w:rsidRPr="00F00878" w:rsidRDefault="009C4B49" w:rsidP="00AA172E">
            <w:pPr>
              <w:pStyle w:val="Copy"/>
              <w:framePr w:hSpace="0" w:wrap="auto" w:vAnchor="margin" w:hAnchor="text" w:xAlign="left" w:yAlign="inline"/>
              <w:suppressOverlap w:val="0"/>
              <w:rPr>
                <w:rFonts w:ascii="Arial" w:hAnsi="Arial"/>
                <w:color w:val="7F7F7F" w:themeColor="text1" w:themeTint="80"/>
              </w:rPr>
            </w:pPr>
          </w:p>
        </w:tc>
        <w:tc>
          <w:tcPr>
            <w:tcW w:w="4831" w:type="dxa"/>
            <w:shd w:val="clear" w:color="auto" w:fill="F2F2F2" w:themeFill="background1" w:themeFillShade="F2"/>
          </w:tcPr>
          <w:p w14:paraId="7A378B14" w14:textId="77777777" w:rsidR="009C4B49" w:rsidRPr="00F00878" w:rsidRDefault="00D40FC5" w:rsidP="000104FC">
            <w:pPr>
              <w:pStyle w:val="Copy"/>
              <w:framePr w:wrap="around"/>
              <w:spacing w:after="120"/>
              <w:rPr>
                <w:rFonts w:ascii="Arial" w:hAnsi="Arial"/>
                <w:b/>
              </w:rPr>
            </w:pPr>
            <w:r w:rsidRPr="00F00878">
              <w:rPr>
                <w:rFonts w:ascii="Arial" w:hAnsi="Arial"/>
                <w:b/>
              </w:rPr>
              <w:t>Building knowledge and awareness for socioemotional wellbeing</w:t>
            </w:r>
          </w:p>
          <w:p w14:paraId="5448A2FF" w14:textId="1B42D839" w:rsidR="000104FC" w:rsidRPr="00F00878" w:rsidRDefault="005F5A41" w:rsidP="0E4B8E82">
            <w:pPr>
              <w:spacing w:line="259" w:lineRule="auto"/>
              <w:rPr>
                <w:rFonts w:cs="Arial"/>
                <w:sz w:val="20"/>
                <w:szCs w:val="20"/>
              </w:rPr>
            </w:pPr>
            <w:r w:rsidRPr="00F00878">
              <w:rPr>
                <w:rFonts w:cs="Arial"/>
                <w:sz w:val="20"/>
                <w:szCs w:val="20"/>
              </w:rPr>
              <w:t>Structured or unstructured learning and development activities that underpin the other core components</w:t>
            </w:r>
            <w:r w:rsidR="00D47E23" w:rsidRPr="00F00878">
              <w:rPr>
                <w:rFonts w:cs="Arial"/>
                <w:sz w:val="20"/>
                <w:szCs w:val="20"/>
              </w:rPr>
              <w:t xml:space="preserve"> (includes activities to enable critical thinking, </w:t>
            </w:r>
            <w:proofErr w:type="gramStart"/>
            <w:r w:rsidR="00CF7F32" w:rsidRPr="00F00878">
              <w:rPr>
                <w:rFonts w:cs="Arial"/>
                <w:sz w:val="20"/>
                <w:szCs w:val="20"/>
              </w:rPr>
              <w:t>metacognition</w:t>
            </w:r>
            <w:proofErr w:type="gramEnd"/>
            <w:r w:rsidR="00CF7F32" w:rsidRPr="00F00878">
              <w:rPr>
                <w:rFonts w:cs="Arial"/>
                <w:sz w:val="20"/>
                <w:szCs w:val="20"/>
              </w:rPr>
              <w:t xml:space="preserve"> and self-regulation, addressing risks, promote healthy relationships</w:t>
            </w:r>
            <w:r w:rsidR="00F608DB" w:rsidRPr="00F00878">
              <w:rPr>
                <w:rFonts w:cs="Arial"/>
                <w:sz w:val="20"/>
                <w:szCs w:val="20"/>
              </w:rPr>
              <w:t>, consider social norms)</w:t>
            </w:r>
            <w:r w:rsidRPr="00F00878">
              <w:rPr>
                <w:rFonts w:cs="Arial"/>
                <w:sz w:val="20"/>
                <w:szCs w:val="20"/>
              </w:rPr>
              <w:t>.</w:t>
            </w:r>
          </w:p>
          <w:p w14:paraId="5929B5F7" w14:textId="77777777" w:rsidR="000104FC" w:rsidRPr="00F00878" w:rsidRDefault="000104FC" w:rsidP="00AA172E">
            <w:pPr>
              <w:pStyle w:val="Copy"/>
              <w:framePr w:wrap="around"/>
              <w:rPr>
                <w:rFonts w:ascii="Arial" w:hAnsi="Arial"/>
              </w:rPr>
            </w:pPr>
          </w:p>
          <w:p w14:paraId="3BDCE7C7" w14:textId="5D841FDD" w:rsidR="00BE22EA" w:rsidRPr="00F00878" w:rsidRDefault="00BE22EA" w:rsidP="00BE22EA">
            <w:pPr>
              <w:pStyle w:val="Copy"/>
              <w:framePr w:wrap="around"/>
              <w:rPr>
                <w:rFonts w:ascii="Arial" w:hAnsi="Arial"/>
              </w:rPr>
            </w:pPr>
            <w:r w:rsidRPr="00F00878">
              <w:rPr>
                <w:rFonts w:ascii="Arial" w:hAnsi="Arial"/>
              </w:rPr>
              <w:t>Youth work interventions directly or indirectly foster empowerment and agency in young people, through a broad range of supportive practices and activities conducted with young people, across a range of different settings.</w:t>
            </w:r>
          </w:p>
          <w:p w14:paraId="69FB0AE8" w14:textId="1DC1A1F4" w:rsidR="00BE22EA" w:rsidRPr="00F00878" w:rsidRDefault="00BE22EA" w:rsidP="00BE22EA">
            <w:pPr>
              <w:pStyle w:val="Copy"/>
              <w:framePr w:wrap="around"/>
              <w:rPr>
                <w:rFonts w:ascii="Arial" w:hAnsi="Arial"/>
              </w:rPr>
            </w:pPr>
            <w:r w:rsidRPr="00F00878">
              <w:rPr>
                <w:rFonts w:ascii="Arial" w:hAnsi="Arial"/>
              </w:rPr>
              <w:t>Critical to youth work practice is:</w:t>
            </w:r>
          </w:p>
          <w:p w14:paraId="5EDE5553" w14:textId="77777777" w:rsidR="00BE22EA" w:rsidRPr="00F00878" w:rsidRDefault="00BE22EA" w:rsidP="00BE22EA">
            <w:pPr>
              <w:pStyle w:val="Copy"/>
              <w:framePr w:wrap="around"/>
              <w:numPr>
                <w:ilvl w:val="0"/>
                <w:numId w:val="46"/>
              </w:numPr>
              <w:ind w:left="296" w:hanging="284"/>
              <w:rPr>
                <w:rFonts w:ascii="Arial" w:hAnsi="Arial"/>
              </w:rPr>
            </w:pPr>
            <w:r w:rsidRPr="00F00878">
              <w:rPr>
                <w:rFonts w:ascii="Arial" w:hAnsi="Arial"/>
              </w:rPr>
              <w:t>a practice that places young people and their interests first</w:t>
            </w:r>
          </w:p>
          <w:p w14:paraId="127C3256" w14:textId="77777777" w:rsidR="00BE22EA" w:rsidRPr="00F00878" w:rsidRDefault="00BE22EA" w:rsidP="00BE22EA">
            <w:pPr>
              <w:pStyle w:val="Copy"/>
              <w:framePr w:wrap="around"/>
              <w:numPr>
                <w:ilvl w:val="0"/>
                <w:numId w:val="46"/>
              </w:numPr>
              <w:ind w:left="296" w:hanging="284"/>
              <w:rPr>
                <w:rFonts w:ascii="Arial" w:hAnsi="Arial"/>
              </w:rPr>
            </w:pPr>
            <w:r w:rsidRPr="00F00878">
              <w:rPr>
                <w:rFonts w:ascii="Arial" w:hAnsi="Arial"/>
              </w:rPr>
              <w:t xml:space="preserve">a relational practice, where the youth worker operates alongside the young person in their </w:t>
            </w:r>
            <w:proofErr w:type="gramStart"/>
            <w:r w:rsidRPr="00F00878">
              <w:rPr>
                <w:rFonts w:ascii="Arial" w:hAnsi="Arial"/>
              </w:rPr>
              <w:t>context</w:t>
            </w:r>
            <w:proofErr w:type="gramEnd"/>
          </w:p>
          <w:p w14:paraId="41A3D746" w14:textId="77777777" w:rsidR="00BE22EA" w:rsidRPr="00F00878" w:rsidRDefault="00BE22EA" w:rsidP="00BE22EA">
            <w:pPr>
              <w:pStyle w:val="Copy"/>
              <w:framePr w:wrap="around"/>
              <w:numPr>
                <w:ilvl w:val="0"/>
                <w:numId w:val="46"/>
              </w:numPr>
              <w:ind w:left="296" w:hanging="284"/>
              <w:rPr>
                <w:rFonts w:ascii="Arial" w:hAnsi="Arial"/>
              </w:rPr>
            </w:pPr>
            <w:r w:rsidRPr="00F00878">
              <w:rPr>
                <w:rFonts w:ascii="Arial" w:hAnsi="Arial"/>
              </w:rPr>
              <w:t xml:space="preserve">an empowering practice that advocates for, and facilitates a young person's independence, participation in society, connectedness and realisation of their </w:t>
            </w:r>
            <w:proofErr w:type="gramStart"/>
            <w:r w:rsidRPr="00F00878">
              <w:rPr>
                <w:rFonts w:ascii="Arial" w:hAnsi="Arial"/>
              </w:rPr>
              <w:t>rights</w:t>
            </w:r>
            <w:proofErr w:type="gramEnd"/>
          </w:p>
          <w:p w14:paraId="45865D97" w14:textId="77777777" w:rsidR="00BE22EA" w:rsidRPr="00F00878" w:rsidRDefault="00BE22EA" w:rsidP="00BE22EA">
            <w:pPr>
              <w:pStyle w:val="Copy"/>
              <w:framePr w:wrap="around"/>
              <w:numPr>
                <w:ilvl w:val="0"/>
                <w:numId w:val="46"/>
              </w:numPr>
              <w:ind w:left="296" w:hanging="284"/>
              <w:rPr>
                <w:rFonts w:ascii="Arial" w:hAnsi="Arial"/>
              </w:rPr>
            </w:pPr>
            <w:r w:rsidRPr="00F00878">
              <w:rPr>
                <w:rFonts w:ascii="Arial" w:hAnsi="Arial"/>
              </w:rPr>
              <w:t>voluntary, participatory, responsive, and contextual.</w:t>
            </w:r>
          </w:p>
          <w:p w14:paraId="0D29B368" w14:textId="77777777" w:rsidR="000104FC" w:rsidRPr="00F00878" w:rsidRDefault="00BE22EA" w:rsidP="00BE22EA">
            <w:pPr>
              <w:pStyle w:val="Copy"/>
              <w:framePr w:wrap="around"/>
              <w:rPr>
                <w:rFonts w:ascii="Arial" w:hAnsi="Arial"/>
              </w:rPr>
            </w:pPr>
            <w:r w:rsidRPr="00F00878">
              <w:rPr>
                <w:rFonts w:ascii="Arial" w:hAnsi="Arial"/>
              </w:rPr>
              <w:t>Authentic relationships built on trust and mutual respect form the foundation of good youth work practice, together with having an ecological focus, encouraging personal agency, and fostering alternative possibilities.</w:t>
            </w:r>
          </w:p>
          <w:p w14:paraId="12D7FD52" w14:textId="72A0F5EB" w:rsidR="74BE71FF" w:rsidRPr="00F00878" w:rsidRDefault="74BE71FF" w:rsidP="74BE71FF">
            <w:pPr>
              <w:pStyle w:val="Copy"/>
              <w:framePr w:wrap="around"/>
              <w:rPr>
                <w:rFonts w:ascii="Arial" w:hAnsi="Arial"/>
              </w:rPr>
            </w:pPr>
          </w:p>
          <w:p w14:paraId="45C692D2" w14:textId="0BDFBEB4" w:rsidR="3331F069" w:rsidRPr="00F00878" w:rsidRDefault="3331F069" w:rsidP="001C0233">
            <w:pPr>
              <w:spacing w:before="120" w:after="120"/>
              <w:rPr>
                <w:rFonts w:eastAsia="Public Sans" w:cs="Arial"/>
                <w:b/>
                <w:bCs/>
                <w:color w:val="000000" w:themeColor="text1"/>
                <w:sz w:val="20"/>
                <w:szCs w:val="20"/>
              </w:rPr>
            </w:pPr>
            <w:r w:rsidRPr="00F00878">
              <w:rPr>
                <w:rFonts w:eastAsia="Public Sans" w:cs="Arial"/>
                <w:b/>
                <w:bCs/>
                <w:color w:val="000000" w:themeColor="text1"/>
                <w:sz w:val="20"/>
                <w:szCs w:val="20"/>
              </w:rPr>
              <w:t>Connectivity</w:t>
            </w:r>
          </w:p>
          <w:p w14:paraId="7AAED276" w14:textId="01AEB610" w:rsidR="3331F069" w:rsidRPr="00F00878" w:rsidRDefault="3331F069" w:rsidP="001C0233">
            <w:pPr>
              <w:spacing w:before="120" w:after="120"/>
              <w:rPr>
                <w:rFonts w:eastAsia="Public Sans" w:cs="Arial"/>
                <w:color w:val="000000" w:themeColor="text1"/>
                <w:sz w:val="20"/>
                <w:szCs w:val="20"/>
              </w:rPr>
            </w:pPr>
            <w:r w:rsidRPr="00F00878">
              <w:rPr>
                <w:rFonts w:eastAsia="Public Sans" w:cs="Arial"/>
                <w:color w:val="000000" w:themeColor="text1"/>
                <w:sz w:val="20"/>
                <w:szCs w:val="20"/>
              </w:rPr>
              <w:t>Develop programs and services that are long-term, sustainable, relationship-based, birthed and sourced from within the community.</w:t>
            </w:r>
          </w:p>
          <w:p w14:paraId="5B63EE27" w14:textId="6486B2E4" w:rsidR="3331F069" w:rsidRPr="00F00878" w:rsidRDefault="3331F069" w:rsidP="001C0233">
            <w:pPr>
              <w:spacing w:before="120" w:after="120"/>
              <w:rPr>
                <w:rFonts w:eastAsia="Public Sans" w:cs="Arial"/>
                <w:b/>
                <w:bCs/>
                <w:color w:val="000000" w:themeColor="text1"/>
                <w:sz w:val="20"/>
                <w:szCs w:val="20"/>
              </w:rPr>
            </w:pPr>
            <w:r w:rsidRPr="00F00878">
              <w:rPr>
                <w:rFonts w:eastAsia="Public Sans" w:cs="Arial"/>
                <w:b/>
                <w:bCs/>
                <w:color w:val="000000" w:themeColor="text1"/>
                <w:sz w:val="20"/>
                <w:szCs w:val="20"/>
              </w:rPr>
              <w:t xml:space="preserve">Strengths </w:t>
            </w:r>
            <w:proofErr w:type="gramStart"/>
            <w:r w:rsidRPr="00F00878">
              <w:rPr>
                <w:rFonts w:eastAsia="Public Sans" w:cs="Arial"/>
                <w:b/>
                <w:bCs/>
                <w:color w:val="000000" w:themeColor="text1"/>
                <w:sz w:val="20"/>
                <w:szCs w:val="20"/>
              </w:rPr>
              <w:t>based</w:t>
            </w:r>
            <w:proofErr w:type="gramEnd"/>
          </w:p>
          <w:p w14:paraId="36101DAC" w14:textId="17AB4BB3" w:rsidR="3331F069" w:rsidRPr="00F00878" w:rsidRDefault="3331F069" w:rsidP="001C0233">
            <w:pPr>
              <w:spacing w:before="120" w:after="120"/>
              <w:rPr>
                <w:rFonts w:eastAsia="Public Sans" w:cs="Arial"/>
                <w:color w:val="000000" w:themeColor="text1"/>
                <w:sz w:val="20"/>
                <w:szCs w:val="20"/>
              </w:rPr>
            </w:pPr>
            <w:r w:rsidRPr="00F00878">
              <w:rPr>
                <w:rFonts w:eastAsia="Public Sans" w:cs="Arial"/>
                <w:color w:val="000000" w:themeColor="text1"/>
                <w:sz w:val="20"/>
                <w:szCs w:val="20"/>
              </w:rPr>
              <w:t>Embrace notions of independence and autonomy among services for young people.</w:t>
            </w:r>
          </w:p>
          <w:p w14:paraId="234C2D36" w14:textId="0930299E" w:rsidR="3331F069" w:rsidRPr="00F00878" w:rsidRDefault="3331F069" w:rsidP="001C0233">
            <w:pPr>
              <w:spacing w:before="120" w:after="120"/>
              <w:rPr>
                <w:rFonts w:eastAsia="Public Sans" w:cs="Arial"/>
                <w:b/>
                <w:bCs/>
                <w:color w:val="000000" w:themeColor="text1"/>
                <w:sz w:val="20"/>
                <w:szCs w:val="20"/>
              </w:rPr>
            </w:pPr>
            <w:r w:rsidRPr="00F00878">
              <w:rPr>
                <w:rFonts w:eastAsia="Public Sans" w:cs="Arial"/>
                <w:b/>
                <w:bCs/>
                <w:color w:val="000000" w:themeColor="text1"/>
                <w:sz w:val="20"/>
                <w:szCs w:val="20"/>
              </w:rPr>
              <w:t>Capacity building</w:t>
            </w:r>
          </w:p>
          <w:p w14:paraId="0C516043" w14:textId="589B6406" w:rsidR="3331F069" w:rsidRPr="00F00878" w:rsidRDefault="3331F069" w:rsidP="001C0233">
            <w:pPr>
              <w:spacing w:before="120" w:after="120"/>
              <w:rPr>
                <w:rFonts w:eastAsia="Public Sans" w:cs="Arial"/>
                <w:color w:val="000000" w:themeColor="text1"/>
                <w:sz w:val="20"/>
                <w:szCs w:val="20"/>
              </w:rPr>
            </w:pPr>
            <w:r w:rsidRPr="00F00878">
              <w:rPr>
                <w:rFonts w:eastAsia="Public Sans" w:cs="Arial"/>
                <w:color w:val="000000" w:themeColor="text1"/>
                <w:sz w:val="20"/>
                <w:szCs w:val="20"/>
              </w:rPr>
              <w:t xml:space="preserve">Build capacity in terms of staff professional development, effective research, </w:t>
            </w:r>
            <w:proofErr w:type="gramStart"/>
            <w:r w:rsidRPr="00F00878">
              <w:rPr>
                <w:rFonts w:eastAsia="Public Sans" w:cs="Arial"/>
                <w:color w:val="000000" w:themeColor="text1"/>
                <w:sz w:val="20"/>
                <w:szCs w:val="20"/>
              </w:rPr>
              <w:t>evaluation</w:t>
            </w:r>
            <w:proofErr w:type="gramEnd"/>
            <w:r w:rsidRPr="00F00878">
              <w:rPr>
                <w:rFonts w:eastAsia="Public Sans" w:cs="Arial"/>
                <w:color w:val="000000" w:themeColor="text1"/>
                <w:sz w:val="20"/>
                <w:szCs w:val="20"/>
              </w:rPr>
              <w:t xml:space="preserve"> and information gathering and sharing, and leadership in the area of governance and management.</w:t>
            </w:r>
          </w:p>
          <w:p w14:paraId="4783645D" w14:textId="62EF6301" w:rsidR="3331F069" w:rsidRPr="00F00878" w:rsidRDefault="3331F069" w:rsidP="001C0233">
            <w:pPr>
              <w:spacing w:before="120" w:after="120"/>
              <w:rPr>
                <w:rFonts w:eastAsia="Public Sans" w:cs="Arial"/>
                <w:b/>
                <w:bCs/>
                <w:color w:val="000000" w:themeColor="text1"/>
                <w:sz w:val="20"/>
                <w:szCs w:val="20"/>
              </w:rPr>
            </w:pPr>
            <w:r w:rsidRPr="00F00878">
              <w:rPr>
                <w:rFonts w:eastAsia="Public Sans" w:cs="Arial"/>
                <w:b/>
                <w:bCs/>
                <w:color w:val="000000" w:themeColor="text1"/>
                <w:sz w:val="20"/>
                <w:szCs w:val="20"/>
              </w:rPr>
              <w:t>Contextual and systemic considerations</w:t>
            </w:r>
          </w:p>
          <w:p w14:paraId="59B404AD" w14:textId="6504FDD4" w:rsidR="3331F069" w:rsidRPr="00F00878" w:rsidRDefault="3331F069" w:rsidP="001C0233">
            <w:pPr>
              <w:spacing w:before="0" w:after="0"/>
              <w:rPr>
                <w:rFonts w:eastAsia="Public Sans" w:cs="Arial"/>
                <w:sz w:val="20"/>
                <w:szCs w:val="20"/>
              </w:rPr>
            </w:pPr>
            <w:r w:rsidRPr="00F00878">
              <w:rPr>
                <w:rFonts w:eastAsia="Public Sans" w:cs="Arial"/>
                <w:sz w:val="20"/>
                <w:szCs w:val="20"/>
              </w:rPr>
              <w:t xml:space="preserve">Consider </w:t>
            </w:r>
            <w:proofErr w:type="spellStart"/>
            <w:r w:rsidRPr="00F00878">
              <w:rPr>
                <w:rFonts w:eastAsia="Public Sans" w:cs="Arial"/>
                <w:sz w:val="20"/>
                <w:szCs w:val="20"/>
              </w:rPr>
              <w:t>macrocontexts</w:t>
            </w:r>
            <w:proofErr w:type="spellEnd"/>
            <w:r w:rsidRPr="00F00878">
              <w:rPr>
                <w:rFonts w:eastAsia="Public Sans" w:cs="Arial"/>
                <w:sz w:val="20"/>
                <w:szCs w:val="20"/>
              </w:rPr>
              <w:t xml:space="preserve"> including economic, </w:t>
            </w:r>
            <w:proofErr w:type="gramStart"/>
            <w:r w:rsidRPr="00F00878">
              <w:rPr>
                <w:rFonts w:eastAsia="Public Sans" w:cs="Arial"/>
                <w:sz w:val="20"/>
                <w:szCs w:val="20"/>
              </w:rPr>
              <w:t>political</w:t>
            </w:r>
            <w:proofErr w:type="gramEnd"/>
            <w:r w:rsidRPr="00F00878">
              <w:rPr>
                <w:rFonts w:eastAsia="Public Sans" w:cs="Arial"/>
                <w:sz w:val="20"/>
                <w:szCs w:val="20"/>
              </w:rPr>
              <w:t xml:space="preserve"> and social and cultural factors.</w:t>
            </w:r>
          </w:p>
          <w:p w14:paraId="41F5FF75" w14:textId="27AF52B9" w:rsidR="3331F069" w:rsidRPr="00F00878" w:rsidRDefault="3331F069" w:rsidP="001C0233">
            <w:pPr>
              <w:spacing w:before="0" w:after="0"/>
              <w:rPr>
                <w:rFonts w:eastAsia="Public Sans Light" w:cs="Arial"/>
                <w:sz w:val="20"/>
                <w:szCs w:val="20"/>
              </w:rPr>
            </w:pPr>
            <w:r w:rsidRPr="00F00878">
              <w:rPr>
                <w:rFonts w:eastAsia="Public Sans Light" w:cs="Arial"/>
                <w:sz w:val="20"/>
                <w:szCs w:val="20"/>
              </w:rPr>
              <w:t xml:space="preserve"> </w:t>
            </w:r>
          </w:p>
          <w:p w14:paraId="0657BDB3" w14:textId="783409FC" w:rsidR="00177154" w:rsidRPr="00F00878" w:rsidRDefault="3331F069" w:rsidP="00177154">
            <w:pPr>
              <w:spacing w:after="120"/>
              <w:rPr>
                <w:rFonts w:cs="Arial"/>
                <w:sz w:val="20"/>
                <w:szCs w:val="20"/>
              </w:rPr>
            </w:pPr>
            <w:r w:rsidRPr="00F00878">
              <w:rPr>
                <w:rFonts w:eastAsia="Public Sans Light" w:cs="Arial"/>
                <w:sz w:val="20"/>
                <w:szCs w:val="20"/>
              </w:rPr>
              <w:t xml:space="preserve">(The </w:t>
            </w:r>
            <w:r w:rsidR="00A83DD4" w:rsidRPr="00F00878">
              <w:rPr>
                <w:rFonts w:eastAsia="Public Sans Light" w:cs="Arial"/>
                <w:sz w:val="20"/>
                <w:szCs w:val="20"/>
              </w:rPr>
              <w:t>f</w:t>
            </w:r>
            <w:r w:rsidRPr="00F00878">
              <w:rPr>
                <w:rFonts w:eastAsia="Public Sans Light" w:cs="Arial"/>
                <w:sz w:val="20"/>
                <w:szCs w:val="20"/>
              </w:rPr>
              <w:t xml:space="preserve">our </w:t>
            </w:r>
            <w:r w:rsidR="00A83DD4" w:rsidRPr="00F00878">
              <w:rPr>
                <w:rFonts w:eastAsia="Public Sans Light" w:cs="Arial"/>
                <w:sz w:val="20"/>
                <w:szCs w:val="20"/>
              </w:rPr>
              <w:t>key elements of be</w:t>
            </w:r>
            <w:r w:rsidRPr="00F00878">
              <w:rPr>
                <w:rFonts w:eastAsia="Public Sans Light" w:cs="Arial"/>
                <w:sz w:val="20"/>
                <w:szCs w:val="20"/>
              </w:rPr>
              <w:t>st practice in youth work</w:t>
            </w:r>
            <w:r w:rsidR="00A83DD4" w:rsidRPr="00F00878">
              <w:rPr>
                <w:rFonts w:eastAsia="Public Sans Light" w:cs="Arial"/>
                <w:sz w:val="20"/>
                <w:szCs w:val="20"/>
              </w:rPr>
              <w:t xml:space="preserve"> </w:t>
            </w:r>
            <w:r w:rsidR="00177154" w:rsidRPr="00F00878">
              <w:rPr>
                <w:rFonts w:cs="Arial"/>
                <w:sz w:val="20"/>
                <w:szCs w:val="20"/>
              </w:rPr>
              <w:t xml:space="preserve">(DCJ Evidence Portal: </w:t>
            </w:r>
            <w:hyperlink r:id="rId18" w:history="1">
              <w:r w:rsidR="00177154" w:rsidRPr="00F00878">
                <w:rPr>
                  <w:rStyle w:val="Hyperlink"/>
                  <w:rFonts w:cs="Arial"/>
                  <w:sz w:val="20"/>
                  <w:szCs w:val="20"/>
                </w:rPr>
                <w:t>Agency and Empowerment Evidence Review</w:t>
              </w:r>
            </w:hyperlink>
            <w:r w:rsidR="00177154" w:rsidRPr="00F00878">
              <w:rPr>
                <w:rFonts w:cs="Arial"/>
                <w:sz w:val="20"/>
                <w:szCs w:val="20"/>
              </w:rPr>
              <w:t>)</w:t>
            </w:r>
            <w:r w:rsidR="00EB7F52" w:rsidRPr="00F00878">
              <w:rPr>
                <w:rFonts w:cs="Arial"/>
                <w:sz w:val="20"/>
                <w:szCs w:val="20"/>
              </w:rPr>
              <w:t>)</w:t>
            </w:r>
          </w:p>
          <w:p w14:paraId="25589FE7" w14:textId="091ABEE2" w:rsidR="3331F069" w:rsidRPr="00F00878" w:rsidRDefault="3331F069">
            <w:pPr>
              <w:rPr>
                <w:rFonts w:cs="Arial"/>
                <w:sz w:val="20"/>
                <w:szCs w:val="20"/>
              </w:rPr>
            </w:pPr>
            <w:r w:rsidRPr="00F00878">
              <w:rPr>
                <w:rFonts w:eastAsia="Public Sans" w:cs="Arial"/>
                <w:sz w:val="20"/>
                <w:szCs w:val="20"/>
              </w:rPr>
              <w:lastRenderedPageBreak/>
              <w:t>)</w:t>
            </w:r>
            <w:r w:rsidRPr="00F00878">
              <w:rPr>
                <w:rFonts w:cs="Arial"/>
                <w:sz w:val="20"/>
                <w:szCs w:val="20"/>
              </w:rPr>
              <w:t xml:space="preserve"> </w:t>
            </w:r>
          </w:p>
          <w:p w14:paraId="0927D90E" w14:textId="690421C8" w:rsidR="74BE71FF" w:rsidRPr="00F00878" w:rsidRDefault="74BE71FF" w:rsidP="001C0233">
            <w:pPr>
              <w:spacing w:before="0" w:after="0"/>
              <w:rPr>
                <w:rFonts w:cs="Arial"/>
                <w:sz w:val="20"/>
                <w:szCs w:val="20"/>
              </w:rPr>
            </w:pPr>
          </w:p>
          <w:p w14:paraId="38B5FFF3" w14:textId="1BA006F8" w:rsidR="74BE71FF" w:rsidRPr="00F00878" w:rsidRDefault="74BE71FF" w:rsidP="74BE71FF">
            <w:pPr>
              <w:pStyle w:val="Copy"/>
              <w:framePr w:wrap="around"/>
              <w:rPr>
                <w:rFonts w:ascii="Arial" w:hAnsi="Arial"/>
              </w:rPr>
            </w:pPr>
          </w:p>
          <w:p w14:paraId="4FACB135" w14:textId="77777777" w:rsidR="00BE22EA" w:rsidRPr="00F00878" w:rsidRDefault="00BE22EA" w:rsidP="00BE22EA">
            <w:pPr>
              <w:pStyle w:val="Copy"/>
              <w:framePr w:wrap="around"/>
              <w:rPr>
                <w:rFonts w:ascii="Arial" w:hAnsi="Arial"/>
                <w:color w:val="7F7F7F" w:themeColor="text1" w:themeTint="80"/>
              </w:rPr>
            </w:pPr>
          </w:p>
          <w:p w14:paraId="33599928" w14:textId="5B6F1605" w:rsidR="00BE22EA" w:rsidRPr="00F00878" w:rsidRDefault="00BE22EA" w:rsidP="00BE22EA">
            <w:pPr>
              <w:pStyle w:val="Copy"/>
              <w:framePr w:wrap="around"/>
              <w:rPr>
                <w:rFonts w:ascii="Arial" w:hAnsi="Arial"/>
                <w:color w:val="7F7F7F" w:themeColor="text1" w:themeTint="80"/>
              </w:rPr>
            </w:pPr>
          </w:p>
        </w:tc>
        <w:tc>
          <w:tcPr>
            <w:tcW w:w="3283" w:type="dxa"/>
            <w:vMerge/>
          </w:tcPr>
          <w:p w14:paraId="0F556F19" w14:textId="77777777" w:rsidR="009C4B49" w:rsidRPr="00F00878" w:rsidRDefault="009C4B49" w:rsidP="00AA172E">
            <w:pPr>
              <w:pStyle w:val="Copy"/>
              <w:framePr w:hSpace="0" w:wrap="auto" w:vAnchor="margin" w:hAnchor="text" w:xAlign="left" w:yAlign="inline"/>
              <w:spacing w:after="120"/>
              <w:suppressOverlap w:val="0"/>
              <w:rPr>
                <w:rFonts w:ascii="Arial" w:hAnsi="Arial"/>
                <w:color w:val="7F7F7F" w:themeColor="text1" w:themeTint="80"/>
              </w:rPr>
            </w:pPr>
          </w:p>
        </w:tc>
      </w:tr>
    </w:tbl>
    <w:p w14:paraId="7225C18D" w14:textId="77777777" w:rsidR="00B253F6" w:rsidRPr="001C0233" w:rsidRDefault="00B253F6" w:rsidP="00B219A0">
      <w:pPr>
        <w:pStyle w:val="H1"/>
        <w:spacing w:after="120"/>
        <w:ind w:left="0"/>
        <w:rPr>
          <w:rFonts w:ascii="Public Sans" w:hAnsi="Public Sans"/>
          <w:sz w:val="18"/>
          <w:szCs w:val="18"/>
        </w:rPr>
      </w:pPr>
    </w:p>
    <w:sectPr w:rsidR="00B253F6" w:rsidRPr="001C0233" w:rsidSect="00DE34F8">
      <w:headerReference w:type="even" r:id="rId19"/>
      <w:headerReference w:type="default" r:id="rId20"/>
      <w:footerReference w:type="default" r:id="rId21"/>
      <w:pgSz w:w="23800" w:h="16820" w:orient="landscape"/>
      <w:pgMar w:top="454" w:right="1440" w:bottom="454" w:left="1440" w:header="56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20E0A" w14:textId="77777777" w:rsidR="000E3273" w:rsidRDefault="000E3273" w:rsidP="00ED7271">
      <w:r>
        <w:separator/>
      </w:r>
    </w:p>
  </w:endnote>
  <w:endnote w:type="continuationSeparator" w:id="0">
    <w:p w14:paraId="7C16E1FC" w14:textId="77777777" w:rsidR="000E3273" w:rsidRDefault="000E3273" w:rsidP="00ED7271">
      <w:r>
        <w:continuationSeparator/>
      </w:r>
    </w:p>
  </w:endnote>
  <w:endnote w:type="continuationNotice" w:id="1">
    <w:p w14:paraId="3852240B" w14:textId="77777777" w:rsidR="000E3273" w:rsidRDefault="000E327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w:altName w:val="Calibri"/>
    <w:charset w:val="00"/>
    <w:family w:val="auto"/>
    <w:pitch w:val="variable"/>
    <w:sig w:usb0="800000A7" w:usb1="00000000" w:usb2="00000000" w:usb3="00000000" w:csb0="00000009" w:csb1="00000000"/>
  </w:font>
  <w:font w:name="Yu Gothic Light">
    <w:altName w:val="游ゴシック Light"/>
    <w:panose1 w:val="020B0300000000000000"/>
    <w:charset w:val="80"/>
    <w:family w:val="swiss"/>
    <w:pitch w:val="variable"/>
    <w:sig w:usb0="E00002FF" w:usb1="2AC7FDFF" w:usb2="00000016" w:usb3="00000000" w:csb0="0002009F" w:csb1="00000000"/>
  </w:font>
  <w:font w:name="Gotham Book Italic">
    <w:altName w:val="Times New Roman"/>
    <w:panose1 w:val="00000000000000000000"/>
    <w:charset w:val="00"/>
    <w:family w:val="auto"/>
    <w:notTrueType/>
    <w:pitch w:val="variable"/>
    <w:sig w:usb0="00000001" w:usb1="4000005B" w:usb2="00000000" w:usb3="00000000" w:csb0="0000009B" w:csb1="00000000"/>
  </w:font>
  <w:font w:name="Gotham Book">
    <w:altName w:val="Calibri"/>
    <w:panose1 w:val="00000000000000000000"/>
    <w:charset w:val="00"/>
    <w:family w:val="modern"/>
    <w:notTrueType/>
    <w:pitch w:val="variable"/>
    <w:sig w:usb0="800000AF" w:usb1="50000048" w:usb2="00000000" w:usb3="00000000" w:csb0="00000111" w:csb1="00000000"/>
  </w:font>
  <w:font w:name="Gotham Bold">
    <w:altName w:val="Times New Roman"/>
    <w:panose1 w:val="00000000000000000000"/>
    <w:charset w:val="00"/>
    <w:family w:val="auto"/>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Public Sans Light">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641343"/>
      <w:docPartObj>
        <w:docPartGallery w:val="Page Numbers (Bottom of Page)"/>
        <w:docPartUnique/>
      </w:docPartObj>
    </w:sdtPr>
    <w:sdtEndPr>
      <w:rPr>
        <w:noProof/>
      </w:rPr>
    </w:sdtEndPr>
    <w:sdtContent>
      <w:p w14:paraId="0580D84B" w14:textId="23556640" w:rsidR="007F1BD0" w:rsidRDefault="007F1BD0" w:rsidP="007F1BD0">
        <w:pPr>
          <w:pStyle w:val="Footer"/>
          <w:ind w:right="-768"/>
          <w:jc w:val="right"/>
        </w:pPr>
        <w:r>
          <w:fldChar w:fldCharType="begin"/>
        </w:r>
        <w:r>
          <w:instrText xml:space="preserve"> PAGE   \* MERGEFORMAT </w:instrText>
        </w:r>
        <w:r>
          <w:fldChar w:fldCharType="separate"/>
        </w:r>
        <w:r w:rsidR="00BE22EA">
          <w:rPr>
            <w:noProof/>
          </w:rPr>
          <w:t>1</w:t>
        </w:r>
        <w:r>
          <w:rPr>
            <w:noProof/>
          </w:rPr>
          <w:fldChar w:fldCharType="end"/>
        </w:r>
      </w:p>
    </w:sdtContent>
  </w:sdt>
  <w:p w14:paraId="3AF65BD6" w14:textId="77777777" w:rsidR="007F1BD0" w:rsidRDefault="007F1B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4BF4C" w14:textId="77777777" w:rsidR="000E3273" w:rsidRPr="00862F4A" w:rsidRDefault="000E3273" w:rsidP="00ED7271">
      <w:pPr>
        <w:rPr>
          <w:b/>
        </w:rPr>
      </w:pPr>
      <w:r w:rsidRPr="00862F4A">
        <w:rPr>
          <w:b/>
        </w:rPr>
        <w:separator/>
      </w:r>
    </w:p>
  </w:footnote>
  <w:footnote w:type="continuationSeparator" w:id="0">
    <w:p w14:paraId="14066034" w14:textId="77777777" w:rsidR="000E3273" w:rsidRDefault="000E3273" w:rsidP="00ED7271">
      <w:r>
        <w:continuationSeparator/>
      </w:r>
    </w:p>
  </w:footnote>
  <w:footnote w:type="continuationNotice" w:id="1">
    <w:p w14:paraId="0D60C873" w14:textId="77777777" w:rsidR="000E3273" w:rsidRDefault="000E3273">
      <w:pPr>
        <w:spacing w:before="0" w:after="0"/>
      </w:pPr>
    </w:p>
  </w:footnote>
  <w:footnote w:id="2">
    <w:p w14:paraId="290FBDC0" w14:textId="77777777" w:rsidR="00F20E8D" w:rsidRDefault="00F20E8D" w:rsidP="00F20E8D">
      <w:pPr>
        <w:pStyle w:val="FootnoteText"/>
      </w:pPr>
      <w:r w:rsidRPr="00AC2E7A">
        <w:rPr>
          <w:rStyle w:val="FootnoteReference"/>
          <w:rFonts w:ascii="Public Sans" w:hAnsi="Public Sans" w:cs="Arial"/>
          <w:sz w:val="18"/>
          <w:szCs w:val="18"/>
        </w:rPr>
        <w:footnoteRef/>
      </w:r>
      <w:r w:rsidRPr="00AC2E7A">
        <w:rPr>
          <w:rFonts w:ascii="Public Sans" w:hAnsi="Public Sans"/>
          <w:sz w:val="18"/>
          <w:szCs w:val="18"/>
        </w:rPr>
        <w:t xml:space="preserve"> The Australian Research Alliance for Children and Youth (ARACY), 2015, Better systems, better chances: A review of research and practice for prevention and early intervention, </w:t>
      </w:r>
      <w:hyperlink r:id="rId1" w:history="1">
        <w:r w:rsidRPr="00AC2E7A">
          <w:rPr>
            <w:rStyle w:val="Hyperlink"/>
            <w:rFonts w:ascii="Public Sans" w:hAnsi="Public Sans" w:cs="Arial"/>
            <w:sz w:val="18"/>
            <w:szCs w:val="18"/>
          </w:rPr>
          <w:t>https://www.aracy.org.au/publications-resources/command/download_file/id/274/filename/Better-systems-better-chances.pdf</w:t>
        </w:r>
      </w:hyperlink>
      <w:r w:rsidRPr="00AC2E7A">
        <w:rPr>
          <w:rFonts w:ascii="Public Sans" w:hAnsi="Public Sans"/>
          <w:sz w:val="18"/>
          <w:szCs w:val="18"/>
        </w:rPr>
        <w:t xml:space="preserve">. </w:t>
      </w:r>
    </w:p>
  </w:footnote>
  <w:footnote w:id="3">
    <w:p w14:paraId="5BEF32EF" w14:textId="77777777" w:rsidR="00F20E8D" w:rsidRDefault="00F20E8D" w:rsidP="00F20E8D">
      <w:pPr>
        <w:pStyle w:val="FootnoteText"/>
      </w:pPr>
      <w:r w:rsidRPr="00AC2E7A">
        <w:rPr>
          <w:rStyle w:val="FootnoteReference"/>
          <w:rFonts w:ascii="Public Sans" w:hAnsi="Public Sans" w:cs="Arial"/>
          <w:sz w:val="18"/>
          <w:szCs w:val="18"/>
        </w:rPr>
        <w:footnoteRef/>
      </w:r>
      <w:r w:rsidRPr="00AC2E7A">
        <w:rPr>
          <w:rFonts w:ascii="Public Sans" w:hAnsi="Public Sans"/>
          <w:sz w:val="18"/>
          <w:szCs w:val="18"/>
        </w:rPr>
        <w:t xml:space="preserve"> </w:t>
      </w:r>
      <w:r w:rsidRPr="00AC2E7A">
        <w:rPr>
          <w:rFonts w:ascii="Public Sans" w:hAnsi="Public Sans" w:cs="Public Sans Light"/>
          <w:color w:val="000000"/>
          <w:sz w:val="18"/>
          <w:szCs w:val="18"/>
        </w:rPr>
        <w:t xml:space="preserve">Australian Institute of Health and Welfare. (2022). Australia’s children. Retrieved from: </w:t>
      </w:r>
      <w:proofErr w:type="gramStart"/>
      <w:r w:rsidRPr="00AC2E7A">
        <w:rPr>
          <w:rFonts w:ascii="Public Sans" w:hAnsi="Public Sans" w:cs="Public Sans Light"/>
          <w:sz w:val="18"/>
          <w:szCs w:val="18"/>
        </w:rPr>
        <w:t>https://www.aihw.gov.au/reports/children-youth/australias-children</w:t>
      </w:r>
      <w:proofErr w:type="gramEnd"/>
    </w:p>
  </w:footnote>
  <w:footnote w:id="4">
    <w:p w14:paraId="0281DFE8" w14:textId="77777777" w:rsidR="00F20E8D" w:rsidRDefault="00F20E8D" w:rsidP="00F20E8D">
      <w:pPr>
        <w:pStyle w:val="EndnoteText"/>
      </w:pPr>
      <w:r>
        <w:rPr>
          <w:rStyle w:val="FootnoteReference"/>
          <w:rFonts w:cs="Arial"/>
        </w:rPr>
        <w:footnoteRef/>
      </w:r>
      <w:r>
        <w:t xml:space="preserve"> </w:t>
      </w:r>
      <w:r w:rsidRPr="00AD56EB">
        <w:t xml:space="preserve">K </w:t>
      </w:r>
      <w:proofErr w:type="gramStart"/>
      <w:r w:rsidRPr="00AD56EB">
        <w:t>Fitz-Gibbon</w:t>
      </w:r>
      <w:proofErr w:type="gramEnd"/>
      <w:r w:rsidRPr="00AD56EB">
        <w:t>, S Meyer, J Maher, and S Roberts, Adolescent family violence in Australia: A national study of prevalence, history of childhood victimisation and impacts, Research report 15/2022, ANROWS, 2022.</w:t>
      </w:r>
      <w:r>
        <w:t xml:space="preserve"> Retrieved from </w:t>
      </w:r>
      <w:hyperlink r:id="rId2" w:history="1">
        <w:r w:rsidRPr="00F5761D">
          <w:rPr>
            <w:rStyle w:val="Hyperlink"/>
            <w:rFonts w:cs="Arial"/>
          </w:rPr>
          <w:t>https://www.anrows.org.au/publication/adolescent-family-violence-in-australia-a-national-study-of-prevalence-history-of-childhood-victimisation-and-impacts/</w:t>
        </w:r>
      </w:hyperlink>
      <w:r>
        <w:t xml:space="preserve"> </w:t>
      </w:r>
    </w:p>
  </w:footnote>
  <w:footnote w:id="5">
    <w:p w14:paraId="10F47A30" w14:textId="732B2E4A" w:rsidR="00F86746" w:rsidRPr="003110BA" w:rsidRDefault="00F86746" w:rsidP="00F86746">
      <w:pPr>
        <w:spacing w:before="0" w:after="160" w:line="259" w:lineRule="auto"/>
        <w:rPr>
          <w:rFonts w:ascii="Public Sans" w:hAnsi="Public Sans"/>
          <w:sz w:val="18"/>
          <w:szCs w:val="18"/>
          <w:lang w:val="en-AU"/>
        </w:rPr>
      </w:pPr>
      <w:r w:rsidRPr="003110BA">
        <w:rPr>
          <w:rStyle w:val="FootnoteReference"/>
          <w:rFonts w:ascii="Public Sans" w:hAnsi="Public Sans"/>
          <w:sz w:val="18"/>
          <w:szCs w:val="18"/>
        </w:rPr>
        <w:footnoteRef/>
      </w:r>
      <w:r w:rsidRPr="003110BA">
        <w:rPr>
          <w:rFonts w:ascii="Public Sans" w:hAnsi="Public Sans"/>
          <w:sz w:val="18"/>
          <w:szCs w:val="18"/>
        </w:rPr>
        <w:t xml:space="preserve"> </w:t>
      </w:r>
      <w:bookmarkStart w:id="0" w:name="_Hlk153974884"/>
      <w:r w:rsidR="00054153" w:rsidRPr="003110BA">
        <w:rPr>
          <w:rFonts w:ascii="Public Sans" w:hAnsi="Public Sans"/>
          <w:sz w:val="18"/>
          <w:szCs w:val="18"/>
        </w:rPr>
        <w:t>Australian Bureau of Statist</w:t>
      </w:r>
      <w:r w:rsidR="007B3E50" w:rsidRPr="003110BA">
        <w:rPr>
          <w:rFonts w:ascii="Public Sans" w:hAnsi="Public Sans"/>
          <w:sz w:val="18"/>
          <w:szCs w:val="18"/>
        </w:rPr>
        <w:t>ics</w:t>
      </w:r>
      <w:r w:rsidR="00D40357" w:rsidRPr="003110BA">
        <w:rPr>
          <w:rFonts w:ascii="Public Sans" w:hAnsi="Public Sans"/>
          <w:sz w:val="18"/>
          <w:szCs w:val="18"/>
        </w:rPr>
        <w:t xml:space="preserve"> (2023) </w:t>
      </w:r>
      <w:r w:rsidRPr="003110BA">
        <w:rPr>
          <w:rFonts w:ascii="Public Sans" w:eastAsia="Times New Roman" w:hAnsi="Public Sans" w:cs="Arial"/>
          <w:sz w:val="18"/>
          <w:szCs w:val="18"/>
          <w:lang w:val="en-AU"/>
        </w:rPr>
        <w:t>National Study of Mental Health and Wellbeing</w:t>
      </w:r>
      <w:r w:rsidR="00D40357" w:rsidRPr="003110BA">
        <w:rPr>
          <w:rFonts w:ascii="Public Sans" w:eastAsia="Times New Roman" w:hAnsi="Public Sans" w:cs="Arial"/>
          <w:sz w:val="18"/>
          <w:szCs w:val="18"/>
          <w:lang w:val="en-AU"/>
        </w:rPr>
        <w:t>, available at:</w:t>
      </w:r>
      <w:r w:rsidRPr="003110BA">
        <w:rPr>
          <w:rFonts w:ascii="Public Sans" w:eastAsia="Times New Roman" w:hAnsi="Public Sans" w:cs="Arial"/>
          <w:sz w:val="18"/>
          <w:szCs w:val="18"/>
          <w:lang w:val="en-AU"/>
        </w:rPr>
        <w:t xml:space="preserve"> https://www.abs.gov.au/statistics/health/mental-health/national-study-mental-health-and-wellbeing/latest-release#key-statistics</w:t>
      </w:r>
      <w:bookmarkEnd w:id="0"/>
    </w:p>
  </w:footnote>
  <w:footnote w:id="6">
    <w:p w14:paraId="035D03C7" w14:textId="42982948" w:rsidR="00F86746" w:rsidRPr="003110BA" w:rsidRDefault="00F86746">
      <w:pPr>
        <w:pStyle w:val="FootnoteText"/>
        <w:rPr>
          <w:rFonts w:ascii="Public Sans" w:hAnsi="Public Sans"/>
          <w:sz w:val="18"/>
          <w:szCs w:val="18"/>
          <w:lang w:val="en-AU"/>
        </w:rPr>
      </w:pPr>
      <w:r w:rsidRPr="003110BA">
        <w:rPr>
          <w:rStyle w:val="FootnoteReference"/>
          <w:rFonts w:ascii="Public Sans" w:hAnsi="Public Sans"/>
          <w:sz w:val="18"/>
          <w:szCs w:val="18"/>
        </w:rPr>
        <w:footnoteRef/>
      </w:r>
      <w:r w:rsidRPr="003110BA">
        <w:rPr>
          <w:rFonts w:ascii="Public Sans" w:hAnsi="Public Sans"/>
          <w:sz w:val="18"/>
          <w:szCs w:val="18"/>
        </w:rPr>
        <w:t xml:space="preserve"> </w:t>
      </w:r>
      <w:r w:rsidRPr="003110BA">
        <w:rPr>
          <w:rFonts w:ascii="Public Sans" w:hAnsi="Public Sans"/>
          <w:sz w:val="18"/>
          <w:szCs w:val="18"/>
          <w:lang w:val="en-AU"/>
        </w:rPr>
        <w:t>Ibid.</w:t>
      </w:r>
    </w:p>
  </w:footnote>
  <w:footnote w:id="7">
    <w:p w14:paraId="6080630E" w14:textId="5E84B5D9" w:rsidR="00F86746" w:rsidRPr="003110BA" w:rsidRDefault="00F86746" w:rsidP="00F86746">
      <w:pPr>
        <w:spacing w:before="0" w:after="160" w:line="259" w:lineRule="auto"/>
        <w:rPr>
          <w:rFonts w:ascii="Public Sans" w:hAnsi="Public Sans"/>
          <w:sz w:val="18"/>
          <w:szCs w:val="18"/>
          <w:lang w:val="en-AU"/>
        </w:rPr>
      </w:pPr>
      <w:r w:rsidRPr="003110BA">
        <w:rPr>
          <w:rStyle w:val="FootnoteReference"/>
          <w:rFonts w:ascii="Public Sans" w:hAnsi="Public Sans"/>
          <w:sz w:val="18"/>
          <w:szCs w:val="18"/>
        </w:rPr>
        <w:footnoteRef/>
      </w:r>
      <w:r w:rsidRPr="003110BA">
        <w:rPr>
          <w:rFonts w:ascii="Public Sans" w:hAnsi="Public Sans"/>
          <w:sz w:val="18"/>
          <w:szCs w:val="18"/>
        </w:rPr>
        <w:t xml:space="preserve"> </w:t>
      </w:r>
      <w:r w:rsidR="004914D2" w:rsidRPr="003110BA">
        <w:rPr>
          <w:rFonts w:ascii="Public Sans" w:hAnsi="Public Sans"/>
          <w:sz w:val="18"/>
          <w:szCs w:val="18"/>
        </w:rPr>
        <w:t>Australian Institute of Health and Welfare</w:t>
      </w:r>
      <w:r w:rsidR="005E3CDE" w:rsidRPr="003110BA">
        <w:rPr>
          <w:rFonts w:ascii="Public Sans" w:hAnsi="Public Sans"/>
          <w:sz w:val="18"/>
          <w:szCs w:val="18"/>
        </w:rPr>
        <w:t xml:space="preserve"> (2023)</w:t>
      </w:r>
      <w:r w:rsidR="00696C1B" w:rsidRPr="003110BA">
        <w:rPr>
          <w:rFonts w:ascii="Public Sans" w:hAnsi="Public Sans"/>
          <w:sz w:val="18"/>
          <w:szCs w:val="18"/>
        </w:rPr>
        <w:t xml:space="preserve"> </w:t>
      </w:r>
      <w:r w:rsidR="00224149" w:rsidRPr="003110BA">
        <w:rPr>
          <w:rFonts w:ascii="Public Sans" w:hAnsi="Public Sans"/>
          <w:sz w:val="18"/>
          <w:szCs w:val="18"/>
        </w:rPr>
        <w:t xml:space="preserve">Suicide &amp; self-harm monitoring: </w:t>
      </w:r>
      <w:r w:rsidR="00696C1B" w:rsidRPr="003110BA">
        <w:rPr>
          <w:rFonts w:ascii="Public Sans" w:hAnsi="Public Sans"/>
          <w:sz w:val="18"/>
          <w:szCs w:val="18"/>
        </w:rPr>
        <w:t xml:space="preserve">Intentional self-harm hospitalisations among young people, available </w:t>
      </w:r>
      <w:proofErr w:type="gramStart"/>
      <w:r w:rsidR="00696C1B" w:rsidRPr="003110BA">
        <w:rPr>
          <w:rFonts w:ascii="Public Sans" w:hAnsi="Public Sans"/>
          <w:sz w:val="18"/>
          <w:szCs w:val="18"/>
        </w:rPr>
        <w:t>at:</w:t>
      </w:r>
      <w:r w:rsidRPr="003110BA">
        <w:rPr>
          <w:rFonts w:ascii="Public Sans" w:eastAsia="Times New Roman" w:hAnsi="Public Sans" w:cs="Arial"/>
          <w:sz w:val="18"/>
          <w:szCs w:val="18"/>
          <w:lang w:val="en-AU"/>
        </w:rPr>
        <w:t>https://www.aihw.gov.au/suicide-self-harm-monitoring/data/populations-age-groups/intentional-self-harm-hospitalisations-among-young</w:t>
      </w:r>
      <w:proofErr w:type="gramEnd"/>
    </w:p>
  </w:footnote>
  <w:footnote w:id="8">
    <w:p w14:paraId="77B368DC" w14:textId="4E3B024A" w:rsidR="00F86746" w:rsidRPr="003110BA" w:rsidRDefault="00F86746" w:rsidP="0015436F">
      <w:pPr>
        <w:spacing w:before="0" w:after="160" w:line="259" w:lineRule="auto"/>
        <w:rPr>
          <w:rFonts w:ascii="Public Sans" w:eastAsia="Times New Roman" w:hAnsi="Public Sans" w:cs="Arial"/>
          <w:sz w:val="18"/>
          <w:szCs w:val="18"/>
          <w:lang w:val="en-AU"/>
        </w:rPr>
      </w:pPr>
      <w:r w:rsidRPr="003110BA">
        <w:rPr>
          <w:rStyle w:val="FootnoteReference"/>
          <w:rFonts w:ascii="Public Sans" w:hAnsi="Public Sans"/>
          <w:sz w:val="18"/>
          <w:szCs w:val="18"/>
        </w:rPr>
        <w:footnoteRef/>
      </w:r>
      <w:r w:rsidRPr="003110BA">
        <w:rPr>
          <w:rFonts w:ascii="Public Sans" w:hAnsi="Public Sans"/>
          <w:sz w:val="18"/>
          <w:szCs w:val="18"/>
        </w:rPr>
        <w:t xml:space="preserve"> </w:t>
      </w:r>
      <w:r w:rsidR="00224149" w:rsidRPr="003110BA">
        <w:rPr>
          <w:rFonts w:ascii="Public Sans" w:hAnsi="Public Sans"/>
          <w:sz w:val="18"/>
          <w:szCs w:val="18"/>
        </w:rPr>
        <w:t xml:space="preserve">Australian Institute of Health and Welfare (2023) Suicide &amp; self-harm monitoring: </w:t>
      </w:r>
      <w:r w:rsidR="00D85610" w:rsidRPr="003110BA">
        <w:rPr>
          <w:rFonts w:ascii="Public Sans" w:hAnsi="Public Sans"/>
          <w:sz w:val="18"/>
          <w:szCs w:val="18"/>
        </w:rPr>
        <w:t xml:space="preserve">Deaths by suicide among young people, available at: </w:t>
      </w:r>
      <w:r w:rsidRPr="003110BA">
        <w:rPr>
          <w:rFonts w:ascii="Public Sans" w:eastAsia="Times New Roman" w:hAnsi="Public Sans" w:cs="Arial"/>
          <w:sz w:val="18"/>
          <w:szCs w:val="18"/>
          <w:lang w:val="en-AU"/>
        </w:rPr>
        <w:t>https://www.aihw.gov.au/suicide-self-harm-monitoring/data/populations-age-groups/suicide-among-young-people</w:t>
      </w:r>
    </w:p>
  </w:footnote>
  <w:footnote w:id="9">
    <w:p w14:paraId="3C56D9F0" w14:textId="0342DC2C" w:rsidR="00DB68DB" w:rsidRPr="003110BA" w:rsidRDefault="00DB68DB" w:rsidP="0015436F">
      <w:pPr>
        <w:spacing w:before="0" w:after="160" w:line="259" w:lineRule="auto"/>
        <w:rPr>
          <w:rFonts w:ascii="Public Sans" w:eastAsia="Times New Roman" w:hAnsi="Public Sans" w:cs="Arial"/>
          <w:sz w:val="18"/>
          <w:szCs w:val="18"/>
          <w:lang w:val="en-AU"/>
        </w:rPr>
      </w:pPr>
      <w:r w:rsidRPr="003110BA">
        <w:rPr>
          <w:rStyle w:val="FootnoteReference"/>
          <w:rFonts w:ascii="Public Sans" w:hAnsi="Public Sans"/>
          <w:sz w:val="18"/>
          <w:szCs w:val="18"/>
        </w:rPr>
        <w:footnoteRef/>
      </w:r>
      <w:r w:rsidRPr="003110BA">
        <w:rPr>
          <w:rFonts w:ascii="Public Sans" w:hAnsi="Public Sans"/>
          <w:sz w:val="18"/>
          <w:szCs w:val="18"/>
        </w:rPr>
        <w:t xml:space="preserve"> </w:t>
      </w:r>
      <w:r w:rsidR="00D85610" w:rsidRPr="003110BA">
        <w:rPr>
          <w:rFonts w:ascii="Public Sans" w:hAnsi="Public Sans"/>
          <w:sz w:val="18"/>
          <w:szCs w:val="18"/>
        </w:rPr>
        <w:t xml:space="preserve">NSW Department of Education </w:t>
      </w:r>
      <w:r w:rsidR="00A176D5" w:rsidRPr="003110BA">
        <w:rPr>
          <w:rFonts w:ascii="Public Sans" w:hAnsi="Public Sans"/>
          <w:sz w:val="18"/>
          <w:szCs w:val="18"/>
        </w:rPr>
        <w:t xml:space="preserve">(2017) Suspensions and expulsions in NSW government schools (2005-2022), available at: </w:t>
      </w:r>
      <w:r w:rsidRPr="003110BA">
        <w:rPr>
          <w:rFonts w:ascii="Public Sans" w:eastAsia="Times New Roman" w:hAnsi="Public Sans" w:cs="Arial"/>
          <w:sz w:val="18"/>
          <w:szCs w:val="18"/>
          <w:lang w:val="en-AU"/>
        </w:rPr>
        <w:t>https://data.cese.nsw.gov.au/data/dataset/suspensions-and-expulsions-in-nsw-government-schools</w:t>
      </w:r>
    </w:p>
  </w:footnote>
  <w:footnote w:id="10">
    <w:p w14:paraId="0A7D3B33" w14:textId="424D8A08" w:rsidR="00DB68DB" w:rsidRPr="003110BA" w:rsidRDefault="00DB68DB" w:rsidP="0015436F">
      <w:pPr>
        <w:spacing w:before="0" w:after="160" w:line="259" w:lineRule="auto"/>
        <w:rPr>
          <w:rFonts w:ascii="Public Sans" w:eastAsia="Times New Roman" w:hAnsi="Public Sans" w:cs="Arial"/>
          <w:sz w:val="18"/>
          <w:szCs w:val="18"/>
          <w:lang w:val="en-AU"/>
        </w:rPr>
      </w:pPr>
      <w:r w:rsidRPr="003110BA">
        <w:rPr>
          <w:rStyle w:val="FootnoteReference"/>
          <w:rFonts w:ascii="Public Sans" w:hAnsi="Public Sans"/>
          <w:sz w:val="18"/>
          <w:szCs w:val="18"/>
        </w:rPr>
        <w:footnoteRef/>
      </w:r>
      <w:r w:rsidRPr="003110BA">
        <w:rPr>
          <w:rFonts w:ascii="Public Sans" w:hAnsi="Public Sans"/>
          <w:sz w:val="18"/>
          <w:szCs w:val="18"/>
        </w:rPr>
        <w:t xml:space="preserve"> </w:t>
      </w:r>
      <w:r w:rsidR="00613D2C" w:rsidRPr="003110BA">
        <w:rPr>
          <w:rFonts w:ascii="Public Sans" w:hAnsi="Public Sans"/>
          <w:sz w:val="18"/>
          <w:szCs w:val="18"/>
        </w:rPr>
        <w:t xml:space="preserve">NSW Bureau of Crime Statistics and Research (2024) NSW Local </w:t>
      </w:r>
      <w:r w:rsidR="00F72864" w:rsidRPr="003110BA">
        <w:rPr>
          <w:rFonts w:ascii="Public Sans" w:hAnsi="Public Sans"/>
          <w:sz w:val="18"/>
          <w:szCs w:val="18"/>
        </w:rPr>
        <w:t xml:space="preserve">Government Area excel crime tables, available at: </w:t>
      </w:r>
      <w:proofErr w:type="gramStart"/>
      <w:r w:rsidRPr="003110BA">
        <w:rPr>
          <w:rFonts w:ascii="Public Sans" w:eastAsia="Times New Roman" w:hAnsi="Public Sans" w:cs="Arial"/>
          <w:sz w:val="18"/>
          <w:szCs w:val="18"/>
          <w:lang w:val="en-AU"/>
        </w:rPr>
        <w:t>https://www.bocsar.nsw.gov.au/Pages/bocsar_crime_stats/bocsar_lgaexceltables.aspx</w:t>
      </w:r>
      <w:proofErr w:type="gramEnd"/>
    </w:p>
  </w:footnote>
  <w:footnote w:id="11">
    <w:p w14:paraId="61D52547" w14:textId="1BC5D031" w:rsidR="000106F5" w:rsidRPr="003110BA" w:rsidRDefault="000106F5" w:rsidP="000106F5">
      <w:pPr>
        <w:pStyle w:val="FootnoteText"/>
        <w:rPr>
          <w:rFonts w:ascii="Public Sans" w:hAnsi="Public Sans"/>
          <w:sz w:val="18"/>
          <w:szCs w:val="18"/>
          <w:lang w:val="en-US"/>
        </w:rPr>
      </w:pPr>
      <w:r w:rsidRPr="003110BA">
        <w:rPr>
          <w:rStyle w:val="FootnoteReference"/>
          <w:rFonts w:ascii="Public Sans" w:hAnsi="Public Sans"/>
          <w:sz w:val="18"/>
          <w:szCs w:val="18"/>
        </w:rPr>
        <w:footnoteRef/>
      </w:r>
      <w:r w:rsidRPr="003110BA">
        <w:rPr>
          <w:rFonts w:ascii="Public Sans" w:hAnsi="Public Sans"/>
          <w:sz w:val="18"/>
          <w:szCs w:val="18"/>
        </w:rPr>
        <w:t xml:space="preserve"> </w:t>
      </w:r>
      <w:r w:rsidRPr="003110BA">
        <w:rPr>
          <w:rFonts w:ascii="Public Sans" w:hAnsi="Public Sans" w:cs="Arial"/>
          <w:color w:val="000000" w:themeColor="text1"/>
          <w:sz w:val="18"/>
          <w:szCs w:val="18"/>
        </w:rPr>
        <w:t xml:space="preserve">Australian Institute of Health and Welfare </w:t>
      </w:r>
      <w:r w:rsidR="00F72864" w:rsidRPr="003110BA">
        <w:rPr>
          <w:rFonts w:ascii="Public Sans" w:hAnsi="Public Sans" w:cs="Arial"/>
          <w:color w:val="000000" w:themeColor="text1"/>
          <w:sz w:val="18"/>
          <w:szCs w:val="18"/>
        </w:rPr>
        <w:t>(</w:t>
      </w:r>
      <w:r w:rsidRPr="003110BA">
        <w:rPr>
          <w:rFonts w:ascii="Public Sans" w:hAnsi="Public Sans" w:cs="Arial"/>
          <w:color w:val="000000" w:themeColor="text1"/>
          <w:sz w:val="18"/>
          <w:szCs w:val="18"/>
        </w:rPr>
        <w:t>2012</w:t>
      </w:r>
      <w:r w:rsidR="00F72864" w:rsidRPr="003110BA">
        <w:rPr>
          <w:rFonts w:ascii="Public Sans" w:hAnsi="Public Sans" w:cs="Arial"/>
          <w:color w:val="000000" w:themeColor="text1"/>
          <w:sz w:val="18"/>
          <w:szCs w:val="18"/>
        </w:rPr>
        <w:t>)</w:t>
      </w:r>
      <w:r w:rsidRPr="003110BA">
        <w:rPr>
          <w:rFonts w:ascii="Public Sans" w:hAnsi="Public Sans" w:cs="Arial"/>
          <w:color w:val="000000" w:themeColor="text1"/>
          <w:sz w:val="18"/>
          <w:szCs w:val="18"/>
        </w:rPr>
        <w:t xml:space="preserve"> </w:t>
      </w:r>
      <w:r w:rsidRPr="003110BA">
        <w:rPr>
          <w:rFonts w:ascii="Public Sans" w:hAnsi="Public Sans" w:cs="Arial"/>
          <w:i/>
          <w:iCs/>
          <w:color w:val="000000" w:themeColor="text1"/>
          <w:sz w:val="18"/>
          <w:szCs w:val="18"/>
        </w:rPr>
        <w:t>Social and emotional wellbeing: development of a Children’s Headline Indicator.</w:t>
      </w:r>
      <w:r w:rsidRPr="003110BA">
        <w:rPr>
          <w:rFonts w:ascii="Public Sans" w:hAnsi="Public Sans" w:cs="Arial"/>
          <w:color w:val="000000" w:themeColor="text1"/>
          <w:sz w:val="18"/>
          <w:szCs w:val="18"/>
        </w:rPr>
        <w:t xml:space="preserve"> Cat. no. PHE 158. Canberra: </w:t>
      </w:r>
      <w:r w:rsidR="00F72864" w:rsidRPr="003110BA">
        <w:rPr>
          <w:rFonts w:ascii="Public Sans" w:hAnsi="Public Sans" w:cs="Arial"/>
          <w:color w:val="000000" w:themeColor="text1"/>
          <w:sz w:val="18"/>
          <w:szCs w:val="18"/>
        </w:rPr>
        <w:t>Australian Institute of Health and Welfare.</w:t>
      </w:r>
    </w:p>
  </w:footnote>
  <w:footnote w:id="12">
    <w:p w14:paraId="4903F18E" w14:textId="0ED0B714" w:rsidR="000106F5" w:rsidRPr="000B3340" w:rsidRDefault="000106F5" w:rsidP="000106F5">
      <w:pPr>
        <w:pStyle w:val="FootnoteText"/>
        <w:rPr>
          <w:lang w:val="en-US"/>
        </w:rPr>
      </w:pPr>
      <w:r w:rsidRPr="003110BA">
        <w:rPr>
          <w:rStyle w:val="FootnoteReference"/>
          <w:rFonts w:ascii="Public Sans" w:hAnsi="Public Sans"/>
          <w:sz w:val="18"/>
          <w:szCs w:val="18"/>
        </w:rPr>
        <w:footnoteRef/>
      </w:r>
      <w:r w:rsidRPr="003110BA">
        <w:rPr>
          <w:rFonts w:ascii="Public Sans" w:hAnsi="Public Sans"/>
          <w:sz w:val="18"/>
          <w:szCs w:val="18"/>
        </w:rPr>
        <w:t xml:space="preserve"> </w:t>
      </w:r>
      <w:r w:rsidR="00F72864" w:rsidRPr="003110BA">
        <w:rPr>
          <w:rFonts w:ascii="Public Sans" w:hAnsi="Public Sans" w:cs="Arial"/>
          <w:color w:val="000000" w:themeColor="text1"/>
          <w:sz w:val="18"/>
          <w:szCs w:val="18"/>
        </w:rPr>
        <w:t>Ibid.</w:t>
      </w:r>
    </w:p>
  </w:footnote>
  <w:footnote w:id="13">
    <w:p w14:paraId="37D4DBEF" w14:textId="77777777" w:rsidR="00B25AD8" w:rsidRPr="001C0233" w:rsidRDefault="00B25AD8" w:rsidP="00B25AD8">
      <w:pPr>
        <w:pStyle w:val="FootnoteText"/>
        <w:rPr>
          <w:rFonts w:ascii="Public Sans" w:hAnsi="Public Sans"/>
          <w:sz w:val="18"/>
          <w:szCs w:val="18"/>
          <w:lang w:val="en-US"/>
        </w:rPr>
      </w:pPr>
      <w:r w:rsidRPr="001C0233">
        <w:rPr>
          <w:rStyle w:val="FootnoteReference"/>
          <w:rFonts w:ascii="Public Sans" w:hAnsi="Public Sans"/>
          <w:sz w:val="18"/>
          <w:szCs w:val="18"/>
        </w:rPr>
        <w:footnoteRef/>
      </w:r>
      <w:r w:rsidRPr="001C0233">
        <w:rPr>
          <w:rFonts w:ascii="Public Sans" w:hAnsi="Public Sans"/>
          <w:sz w:val="18"/>
          <w:szCs w:val="18"/>
        </w:rPr>
        <w:t xml:space="preserve"> Self-efficacy refers to subjective judgments of one’s capabilities to organise and execute courses of action to attain designated goals (Bandura, 1977, 1997).  In other words, self-efficacy relates to a person’s perception of “how well can I do something?” rather than “what am I like?”</w:t>
      </w:r>
    </w:p>
  </w:footnote>
  <w:footnote w:id="14">
    <w:p w14:paraId="32DF2097" w14:textId="70C82024" w:rsidR="007360B9" w:rsidRPr="000B3340" w:rsidRDefault="007360B9" w:rsidP="007360B9">
      <w:pPr>
        <w:pStyle w:val="FootnoteText"/>
        <w:rPr>
          <w:lang w:val="en-US"/>
        </w:rPr>
      </w:pPr>
      <w:r w:rsidRPr="001C0233">
        <w:rPr>
          <w:rStyle w:val="FootnoteReference"/>
          <w:rFonts w:ascii="Public Sans" w:hAnsi="Public Sans"/>
          <w:sz w:val="18"/>
          <w:szCs w:val="18"/>
        </w:rPr>
        <w:footnoteRef/>
      </w:r>
      <w:r w:rsidRPr="001C0233">
        <w:rPr>
          <w:rFonts w:ascii="Public Sans" w:hAnsi="Public Sans"/>
          <w:sz w:val="18"/>
          <w:szCs w:val="18"/>
        </w:rPr>
        <w:t xml:space="preserve"> </w:t>
      </w:r>
      <w:r w:rsidR="003110BA" w:rsidRPr="003110BA">
        <w:rPr>
          <w:rFonts w:ascii="Public Sans" w:hAnsi="Public Sans" w:cs="Arial"/>
          <w:color w:val="000000" w:themeColor="text1"/>
          <w:sz w:val="18"/>
          <w:szCs w:val="18"/>
        </w:rPr>
        <w:t xml:space="preserve">Australian Institute of Health and Welfare (2012) </w:t>
      </w:r>
      <w:r w:rsidR="003110BA" w:rsidRPr="003110BA">
        <w:rPr>
          <w:rFonts w:ascii="Public Sans" w:hAnsi="Public Sans" w:cs="Arial"/>
          <w:i/>
          <w:iCs/>
          <w:color w:val="000000" w:themeColor="text1"/>
          <w:sz w:val="18"/>
          <w:szCs w:val="18"/>
        </w:rPr>
        <w:t>Social and emotional wellbeing: development of a Children’s Headline Indicator.</w:t>
      </w:r>
      <w:r w:rsidR="003110BA" w:rsidRPr="003110BA">
        <w:rPr>
          <w:rFonts w:ascii="Public Sans" w:hAnsi="Public Sans" w:cs="Arial"/>
          <w:color w:val="000000" w:themeColor="text1"/>
          <w:sz w:val="18"/>
          <w:szCs w:val="18"/>
        </w:rPr>
        <w:t xml:space="preserve"> Cat. no. PHE 158. Canberra: Australian Institute of Health and Welfare.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AB277" w14:textId="77777777" w:rsidR="00552D6B" w:rsidRPr="00552D6B" w:rsidRDefault="000A24B2" w:rsidP="00552D6B">
    <w:pPr>
      <w:pStyle w:val="H1"/>
    </w:pPr>
    <w:r>
      <w:rPr>
        <w:noProof/>
        <w:lang w:val="en-AU" w:eastAsia="en-AU"/>
      </w:rPr>
      <w:drawing>
        <wp:anchor distT="0" distB="0" distL="114300" distR="114300" simplePos="0" relativeHeight="251658240" behindDoc="0" locked="0" layoutInCell="1" allowOverlap="1" wp14:anchorId="4402EC56" wp14:editId="3F318944">
          <wp:simplePos x="0" y="0"/>
          <wp:positionH relativeFrom="margin">
            <wp:align>right</wp:align>
          </wp:positionH>
          <wp:positionV relativeFrom="paragraph">
            <wp:posOffset>23473</wp:posOffset>
          </wp:positionV>
          <wp:extent cx="1040524" cy="1103586"/>
          <wp:effectExtent l="0" t="0" r="0" b="0"/>
          <wp:wrapSquare wrapText="bothSides"/>
          <wp:docPr id="42" name="Picture 42" descr="logo - Communities &amp;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Communities &amp; Justic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70550" b="-3706"/>
                  <a:stretch/>
                </pic:blipFill>
                <pic:spPr bwMode="auto">
                  <a:xfrm>
                    <a:off x="0" y="0"/>
                    <a:ext cx="1040524" cy="110358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1611D">
      <w:t xml:space="preserve">Community Strengthening Stream </w:t>
    </w:r>
    <w:r w:rsidR="00552D6B">
      <w:t>Example</w:t>
    </w:r>
    <w:r w:rsidR="00477DCF">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CF840" w14:textId="77777777" w:rsidR="004A7237" w:rsidRDefault="004A7237">
    <w:pPr>
      <w:pStyle w:val="Header"/>
    </w:pPr>
    <w:r w:rsidRPr="007D1CA6">
      <w:rPr>
        <w:rFonts w:ascii="Gotham" w:hAnsi="Gotham"/>
        <w:b/>
        <w:noProof/>
        <w:color w:val="002060"/>
        <w:lang w:val="en-AU" w:eastAsia="en-AU"/>
      </w:rPr>
      <w:drawing>
        <wp:anchor distT="0" distB="0" distL="114300" distR="114300" simplePos="0" relativeHeight="251658241" behindDoc="1" locked="0" layoutInCell="1" allowOverlap="1" wp14:anchorId="6A6BD05D" wp14:editId="452577BF">
          <wp:simplePos x="0" y="0"/>
          <wp:positionH relativeFrom="margin">
            <wp:posOffset>13098483</wp:posOffset>
          </wp:positionH>
          <wp:positionV relativeFrom="paragraph">
            <wp:posOffset>-59204</wp:posOffset>
          </wp:positionV>
          <wp:extent cx="772160" cy="819150"/>
          <wp:effectExtent l="0" t="0" r="8890" b="0"/>
          <wp:wrapSquare wrapText="bothSides"/>
          <wp:docPr id="43" name="Picture 43" descr="logo - Communities &amp;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Communities &amp; Justic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70550" b="-3706"/>
                  <a:stretch/>
                </pic:blipFill>
                <pic:spPr bwMode="auto">
                  <a:xfrm>
                    <a:off x="0" y="0"/>
                    <a:ext cx="772160" cy="819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33566"/>
    <w:multiLevelType w:val="hybridMultilevel"/>
    <w:tmpl w:val="3B78F5B2"/>
    <w:lvl w:ilvl="0" w:tplc="53D0CF16">
      <w:start w:val="1"/>
      <w:numFmt w:val="decimal"/>
      <w:lvlText w:val="%1."/>
      <w:lvlJc w:val="left"/>
      <w:pPr>
        <w:ind w:left="720" w:hanging="360"/>
      </w:pPr>
    </w:lvl>
    <w:lvl w:ilvl="1" w:tplc="5EA2EE9E">
      <w:numFmt w:val="bullet"/>
      <w:lvlText w:val="-"/>
      <w:lvlJc w:val="left"/>
      <w:pPr>
        <w:ind w:left="1440" w:hanging="360"/>
      </w:pPr>
      <w:rPr>
        <w:rFonts w:ascii="Arial" w:eastAsiaTheme="minorEastAsia"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BC4F60"/>
    <w:multiLevelType w:val="hybridMultilevel"/>
    <w:tmpl w:val="B3E02F28"/>
    <w:lvl w:ilvl="0" w:tplc="6352DA74">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9640F1"/>
    <w:multiLevelType w:val="hybridMultilevel"/>
    <w:tmpl w:val="22B6FB5E"/>
    <w:lvl w:ilvl="0" w:tplc="ED8CA4C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C43009"/>
    <w:multiLevelType w:val="hybridMultilevel"/>
    <w:tmpl w:val="34D8B362"/>
    <w:lvl w:ilvl="0" w:tplc="6BD436F8">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4" w15:restartNumberingAfterBreak="0">
    <w:nsid w:val="219806E8"/>
    <w:multiLevelType w:val="hybridMultilevel"/>
    <w:tmpl w:val="D572287C"/>
    <w:lvl w:ilvl="0" w:tplc="648E0B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D061E3"/>
    <w:multiLevelType w:val="hybridMultilevel"/>
    <w:tmpl w:val="0AD02D42"/>
    <w:lvl w:ilvl="0" w:tplc="B764171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251460F"/>
    <w:multiLevelType w:val="hybridMultilevel"/>
    <w:tmpl w:val="CF9AFEB4"/>
    <w:lvl w:ilvl="0" w:tplc="0C090001">
      <w:start w:val="1"/>
      <w:numFmt w:val="bullet"/>
      <w:lvlText w:val=""/>
      <w:lvlJc w:val="left"/>
      <w:pPr>
        <w:ind w:left="1083" w:hanging="360"/>
      </w:pPr>
      <w:rPr>
        <w:rFonts w:ascii="Symbol" w:hAnsi="Symbol"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7" w15:restartNumberingAfterBreak="0">
    <w:nsid w:val="25555606"/>
    <w:multiLevelType w:val="hybridMultilevel"/>
    <w:tmpl w:val="5256372A"/>
    <w:lvl w:ilvl="0" w:tplc="B584153A">
      <w:start w:val="1"/>
      <w:numFmt w:val="bullet"/>
      <w:lvlText w:val=""/>
      <w:lvlJc w:val="left"/>
      <w:pPr>
        <w:ind w:left="724"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8" w15:restartNumberingAfterBreak="0">
    <w:nsid w:val="27EA0282"/>
    <w:multiLevelType w:val="hybridMultilevel"/>
    <w:tmpl w:val="EA00A876"/>
    <w:lvl w:ilvl="0" w:tplc="0C090001">
      <w:start w:val="1"/>
      <w:numFmt w:val="bullet"/>
      <w:lvlText w:val=""/>
      <w:lvlJc w:val="left"/>
      <w:pPr>
        <w:ind w:left="360" w:hanging="360"/>
      </w:pPr>
      <w:rPr>
        <w:rFonts w:ascii="Symbol" w:hAnsi="Symbol" w:hint="default"/>
      </w:rPr>
    </w:lvl>
    <w:lvl w:ilvl="1" w:tplc="5EA2EE9E">
      <w:numFmt w:val="bullet"/>
      <w:lvlText w:val="-"/>
      <w:lvlJc w:val="left"/>
      <w:pPr>
        <w:ind w:left="1080" w:hanging="360"/>
      </w:pPr>
      <w:rPr>
        <w:rFonts w:ascii="Arial" w:eastAsiaTheme="minorEastAsia"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8FED5D6"/>
    <w:multiLevelType w:val="hybridMultilevel"/>
    <w:tmpl w:val="41C20DF4"/>
    <w:lvl w:ilvl="0" w:tplc="AC32B04C">
      <w:start w:val="1"/>
      <w:numFmt w:val="bullet"/>
      <w:lvlText w:val=""/>
      <w:lvlJc w:val="left"/>
      <w:pPr>
        <w:ind w:left="360" w:hanging="360"/>
      </w:pPr>
      <w:rPr>
        <w:rFonts w:ascii="Symbol" w:hAnsi="Symbol" w:hint="default"/>
      </w:rPr>
    </w:lvl>
    <w:lvl w:ilvl="1" w:tplc="F88229EC">
      <w:start w:val="1"/>
      <w:numFmt w:val="bullet"/>
      <w:lvlText w:val="o"/>
      <w:lvlJc w:val="left"/>
      <w:pPr>
        <w:ind w:left="1080" w:hanging="360"/>
      </w:pPr>
      <w:rPr>
        <w:rFonts w:ascii="Courier New" w:hAnsi="Courier New" w:hint="default"/>
      </w:rPr>
    </w:lvl>
    <w:lvl w:ilvl="2" w:tplc="B25058FC">
      <w:start w:val="1"/>
      <w:numFmt w:val="bullet"/>
      <w:lvlText w:val=""/>
      <w:lvlJc w:val="left"/>
      <w:pPr>
        <w:ind w:left="1800" w:hanging="360"/>
      </w:pPr>
      <w:rPr>
        <w:rFonts w:ascii="Wingdings" w:hAnsi="Wingdings" w:hint="default"/>
      </w:rPr>
    </w:lvl>
    <w:lvl w:ilvl="3" w:tplc="25CEC09A">
      <w:start w:val="1"/>
      <w:numFmt w:val="bullet"/>
      <w:lvlText w:val=""/>
      <w:lvlJc w:val="left"/>
      <w:pPr>
        <w:ind w:left="2520" w:hanging="360"/>
      </w:pPr>
      <w:rPr>
        <w:rFonts w:ascii="Symbol" w:hAnsi="Symbol" w:hint="default"/>
      </w:rPr>
    </w:lvl>
    <w:lvl w:ilvl="4" w:tplc="6DA60F2E">
      <w:start w:val="1"/>
      <w:numFmt w:val="bullet"/>
      <w:lvlText w:val="o"/>
      <w:lvlJc w:val="left"/>
      <w:pPr>
        <w:ind w:left="3240" w:hanging="360"/>
      </w:pPr>
      <w:rPr>
        <w:rFonts w:ascii="Courier New" w:hAnsi="Courier New" w:hint="default"/>
      </w:rPr>
    </w:lvl>
    <w:lvl w:ilvl="5" w:tplc="A0881E50">
      <w:start w:val="1"/>
      <w:numFmt w:val="bullet"/>
      <w:lvlText w:val=""/>
      <w:lvlJc w:val="left"/>
      <w:pPr>
        <w:ind w:left="3960" w:hanging="360"/>
      </w:pPr>
      <w:rPr>
        <w:rFonts w:ascii="Wingdings" w:hAnsi="Wingdings" w:hint="default"/>
      </w:rPr>
    </w:lvl>
    <w:lvl w:ilvl="6" w:tplc="6AE444E4">
      <w:start w:val="1"/>
      <w:numFmt w:val="bullet"/>
      <w:lvlText w:val=""/>
      <w:lvlJc w:val="left"/>
      <w:pPr>
        <w:ind w:left="4680" w:hanging="360"/>
      </w:pPr>
      <w:rPr>
        <w:rFonts w:ascii="Symbol" w:hAnsi="Symbol" w:hint="default"/>
      </w:rPr>
    </w:lvl>
    <w:lvl w:ilvl="7" w:tplc="502AC338">
      <w:start w:val="1"/>
      <w:numFmt w:val="bullet"/>
      <w:lvlText w:val="o"/>
      <w:lvlJc w:val="left"/>
      <w:pPr>
        <w:ind w:left="5400" w:hanging="360"/>
      </w:pPr>
      <w:rPr>
        <w:rFonts w:ascii="Courier New" w:hAnsi="Courier New" w:hint="default"/>
      </w:rPr>
    </w:lvl>
    <w:lvl w:ilvl="8" w:tplc="F7483BC0">
      <w:start w:val="1"/>
      <w:numFmt w:val="bullet"/>
      <w:lvlText w:val=""/>
      <w:lvlJc w:val="left"/>
      <w:pPr>
        <w:ind w:left="6120" w:hanging="360"/>
      </w:pPr>
      <w:rPr>
        <w:rFonts w:ascii="Wingdings" w:hAnsi="Wingdings" w:hint="default"/>
      </w:rPr>
    </w:lvl>
  </w:abstractNum>
  <w:abstractNum w:abstractNumId="10" w15:restartNumberingAfterBreak="0">
    <w:nsid w:val="2B191645"/>
    <w:multiLevelType w:val="hybridMultilevel"/>
    <w:tmpl w:val="995259D0"/>
    <w:lvl w:ilvl="0" w:tplc="D248D15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F9339B"/>
    <w:multiLevelType w:val="hybridMultilevel"/>
    <w:tmpl w:val="EB1083BC"/>
    <w:lvl w:ilvl="0" w:tplc="90CC8A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A87E56"/>
    <w:multiLevelType w:val="hybridMultilevel"/>
    <w:tmpl w:val="CC5439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F345464"/>
    <w:multiLevelType w:val="hybridMultilevel"/>
    <w:tmpl w:val="69763420"/>
    <w:lvl w:ilvl="0" w:tplc="B584153A">
      <w:start w:val="1"/>
      <w:numFmt w:val="bullet"/>
      <w:lvlText w:val=""/>
      <w:lvlJc w:val="left"/>
      <w:pPr>
        <w:ind w:left="72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582846"/>
    <w:multiLevelType w:val="hybridMultilevel"/>
    <w:tmpl w:val="DC3C6EB0"/>
    <w:lvl w:ilvl="0" w:tplc="CCC2B310">
      <w:start w:val="1"/>
      <w:numFmt w:val="bullet"/>
      <w:lvlText w:val=""/>
      <w:lvlJc w:val="left"/>
      <w:pPr>
        <w:ind w:left="284" w:hanging="284"/>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F70EB8"/>
    <w:multiLevelType w:val="hybridMultilevel"/>
    <w:tmpl w:val="F1E2183E"/>
    <w:lvl w:ilvl="0" w:tplc="4FC6E98C">
      <w:start w:val="1"/>
      <w:numFmt w:val="decimal"/>
      <w:pStyle w:val="List1"/>
      <w:lvlText w:val="%1."/>
      <w:lvlJc w:val="left"/>
      <w:pPr>
        <w:ind w:left="369" w:hanging="369"/>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7E82983"/>
    <w:multiLevelType w:val="hybridMultilevel"/>
    <w:tmpl w:val="3B78F5B2"/>
    <w:lvl w:ilvl="0" w:tplc="53D0CF16">
      <w:start w:val="1"/>
      <w:numFmt w:val="decimal"/>
      <w:lvlText w:val="%1."/>
      <w:lvlJc w:val="left"/>
      <w:pPr>
        <w:ind w:left="360" w:hanging="360"/>
      </w:pPr>
    </w:lvl>
    <w:lvl w:ilvl="1" w:tplc="5EA2EE9E">
      <w:numFmt w:val="bullet"/>
      <w:lvlText w:val="-"/>
      <w:lvlJc w:val="left"/>
      <w:pPr>
        <w:ind w:left="1080" w:hanging="360"/>
      </w:pPr>
      <w:rPr>
        <w:rFonts w:ascii="Arial" w:eastAsiaTheme="minorEastAsia"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F894690"/>
    <w:multiLevelType w:val="hybridMultilevel"/>
    <w:tmpl w:val="8D98A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57764D8"/>
    <w:multiLevelType w:val="hybridMultilevel"/>
    <w:tmpl w:val="DCD455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95D59D1"/>
    <w:multiLevelType w:val="hybridMultilevel"/>
    <w:tmpl w:val="F5F8F3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E167F86"/>
    <w:multiLevelType w:val="hybridMultilevel"/>
    <w:tmpl w:val="2292B9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0CD3F50"/>
    <w:multiLevelType w:val="hybridMultilevel"/>
    <w:tmpl w:val="DFC87D1E"/>
    <w:lvl w:ilvl="0" w:tplc="B584153A">
      <w:start w:val="1"/>
      <w:numFmt w:val="bullet"/>
      <w:lvlText w:val=""/>
      <w:lvlJc w:val="left"/>
      <w:pPr>
        <w:ind w:left="362" w:hanging="360"/>
      </w:pPr>
      <w:rPr>
        <w:rFonts w:ascii="Symbol" w:hAnsi="Symbol" w:hint="default"/>
      </w:rPr>
    </w:lvl>
    <w:lvl w:ilvl="1" w:tplc="0C090003" w:tentative="1">
      <w:start w:val="1"/>
      <w:numFmt w:val="bullet"/>
      <w:lvlText w:val="o"/>
      <w:lvlJc w:val="left"/>
      <w:pPr>
        <w:ind w:left="1078" w:hanging="360"/>
      </w:pPr>
      <w:rPr>
        <w:rFonts w:ascii="Courier New" w:hAnsi="Courier New" w:cs="Courier New" w:hint="default"/>
      </w:rPr>
    </w:lvl>
    <w:lvl w:ilvl="2" w:tplc="0C090005" w:tentative="1">
      <w:start w:val="1"/>
      <w:numFmt w:val="bullet"/>
      <w:lvlText w:val=""/>
      <w:lvlJc w:val="left"/>
      <w:pPr>
        <w:ind w:left="1798" w:hanging="360"/>
      </w:pPr>
      <w:rPr>
        <w:rFonts w:ascii="Wingdings" w:hAnsi="Wingdings" w:hint="default"/>
      </w:rPr>
    </w:lvl>
    <w:lvl w:ilvl="3" w:tplc="0C090001" w:tentative="1">
      <w:start w:val="1"/>
      <w:numFmt w:val="bullet"/>
      <w:lvlText w:val=""/>
      <w:lvlJc w:val="left"/>
      <w:pPr>
        <w:ind w:left="2518" w:hanging="360"/>
      </w:pPr>
      <w:rPr>
        <w:rFonts w:ascii="Symbol" w:hAnsi="Symbol" w:hint="default"/>
      </w:rPr>
    </w:lvl>
    <w:lvl w:ilvl="4" w:tplc="0C090003" w:tentative="1">
      <w:start w:val="1"/>
      <w:numFmt w:val="bullet"/>
      <w:lvlText w:val="o"/>
      <w:lvlJc w:val="left"/>
      <w:pPr>
        <w:ind w:left="3238" w:hanging="360"/>
      </w:pPr>
      <w:rPr>
        <w:rFonts w:ascii="Courier New" w:hAnsi="Courier New" w:cs="Courier New" w:hint="default"/>
      </w:rPr>
    </w:lvl>
    <w:lvl w:ilvl="5" w:tplc="0C090005" w:tentative="1">
      <w:start w:val="1"/>
      <w:numFmt w:val="bullet"/>
      <w:lvlText w:val=""/>
      <w:lvlJc w:val="left"/>
      <w:pPr>
        <w:ind w:left="3958" w:hanging="360"/>
      </w:pPr>
      <w:rPr>
        <w:rFonts w:ascii="Wingdings" w:hAnsi="Wingdings" w:hint="default"/>
      </w:rPr>
    </w:lvl>
    <w:lvl w:ilvl="6" w:tplc="0C090001" w:tentative="1">
      <w:start w:val="1"/>
      <w:numFmt w:val="bullet"/>
      <w:lvlText w:val=""/>
      <w:lvlJc w:val="left"/>
      <w:pPr>
        <w:ind w:left="4678" w:hanging="360"/>
      </w:pPr>
      <w:rPr>
        <w:rFonts w:ascii="Symbol" w:hAnsi="Symbol" w:hint="default"/>
      </w:rPr>
    </w:lvl>
    <w:lvl w:ilvl="7" w:tplc="0C090003" w:tentative="1">
      <w:start w:val="1"/>
      <w:numFmt w:val="bullet"/>
      <w:lvlText w:val="o"/>
      <w:lvlJc w:val="left"/>
      <w:pPr>
        <w:ind w:left="5398" w:hanging="360"/>
      </w:pPr>
      <w:rPr>
        <w:rFonts w:ascii="Courier New" w:hAnsi="Courier New" w:cs="Courier New" w:hint="default"/>
      </w:rPr>
    </w:lvl>
    <w:lvl w:ilvl="8" w:tplc="0C090005" w:tentative="1">
      <w:start w:val="1"/>
      <w:numFmt w:val="bullet"/>
      <w:lvlText w:val=""/>
      <w:lvlJc w:val="left"/>
      <w:pPr>
        <w:ind w:left="6118" w:hanging="360"/>
      </w:pPr>
      <w:rPr>
        <w:rFonts w:ascii="Wingdings" w:hAnsi="Wingdings" w:hint="default"/>
      </w:rPr>
    </w:lvl>
  </w:abstractNum>
  <w:abstractNum w:abstractNumId="22" w15:restartNumberingAfterBreak="0">
    <w:nsid w:val="74855F81"/>
    <w:multiLevelType w:val="hybridMultilevel"/>
    <w:tmpl w:val="DD5A652A"/>
    <w:lvl w:ilvl="0" w:tplc="90CC8A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3556B3"/>
    <w:multiLevelType w:val="hybridMultilevel"/>
    <w:tmpl w:val="6B622636"/>
    <w:lvl w:ilvl="0" w:tplc="5C2ECB1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928522E"/>
    <w:multiLevelType w:val="hybridMultilevel"/>
    <w:tmpl w:val="91C491D2"/>
    <w:lvl w:ilvl="0" w:tplc="4E7C3E26">
      <w:start w:val="1"/>
      <w:numFmt w:val="bullet"/>
      <w:pStyle w:val="Bulletpoints"/>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7C20C7"/>
    <w:multiLevelType w:val="hybridMultilevel"/>
    <w:tmpl w:val="3878A4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12591497">
    <w:abstractNumId w:val="24"/>
  </w:num>
  <w:num w:numId="2" w16cid:durableId="333000571">
    <w:abstractNumId w:val="15"/>
  </w:num>
  <w:num w:numId="3" w16cid:durableId="318465321">
    <w:abstractNumId w:val="5"/>
  </w:num>
  <w:num w:numId="4" w16cid:durableId="2087529725">
    <w:abstractNumId w:val="5"/>
  </w:num>
  <w:num w:numId="5" w16cid:durableId="1130395153">
    <w:abstractNumId w:val="18"/>
  </w:num>
  <w:num w:numId="6" w16cid:durableId="326595442">
    <w:abstractNumId w:val="5"/>
  </w:num>
  <w:num w:numId="7" w16cid:durableId="494995144">
    <w:abstractNumId w:val="0"/>
  </w:num>
  <w:num w:numId="8" w16cid:durableId="26760161">
    <w:abstractNumId w:val="22"/>
  </w:num>
  <w:num w:numId="9" w16cid:durableId="337314958">
    <w:abstractNumId w:val="11"/>
  </w:num>
  <w:num w:numId="10" w16cid:durableId="1898202574">
    <w:abstractNumId w:val="14"/>
  </w:num>
  <w:num w:numId="11" w16cid:durableId="1227450790">
    <w:abstractNumId w:val="20"/>
  </w:num>
  <w:num w:numId="12" w16cid:durableId="178862302">
    <w:abstractNumId w:val="0"/>
  </w:num>
  <w:num w:numId="13" w16cid:durableId="720520526">
    <w:abstractNumId w:val="0"/>
  </w:num>
  <w:num w:numId="14" w16cid:durableId="1450975905">
    <w:abstractNumId w:val="0"/>
  </w:num>
  <w:num w:numId="15" w16cid:durableId="846678503">
    <w:abstractNumId w:val="0"/>
  </w:num>
  <w:num w:numId="16" w16cid:durableId="576744791">
    <w:abstractNumId w:val="0"/>
  </w:num>
  <w:num w:numId="17" w16cid:durableId="2073117310">
    <w:abstractNumId w:val="0"/>
  </w:num>
  <w:num w:numId="18" w16cid:durableId="624770618">
    <w:abstractNumId w:val="0"/>
  </w:num>
  <w:num w:numId="19" w16cid:durableId="903873723">
    <w:abstractNumId w:val="0"/>
  </w:num>
  <w:num w:numId="20" w16cid:durableId="1135610723">
    <w:abstractNumId w:val="19"/>
  </w:num>
  <w:num w:numId="21" w16cid:durableId="1576476775">
    <w:abstractNumId w:val="0"/>
  </w:num>
  <w:num w:numId="22" w16cid:durableId="138350814">
    <w:abstractNumId w:val="6"/>
  </w:num>
  <w:num w:numId="23" w16cid:durableId="1475492217">
    <w:abstractNumId w:val="8"/>
  </w:num>
  <w:num w:numId="24" w16cid:durableId="1300575169">
    <w:abstractNumId w:val="0"/>
  </w:num>
  <w:num w:numId="25" w16cid:durableId="151525317">
    <w:abstractNumId w:val="0"/>
  </w:num>
  <w:num w:numId="26" w16cid:durableId="1259407924">
    <w:abstractNumId w:val="0"/>
  </w:num>
  <w:num w:numId="27" w16cid:durableId="1723821037">
    <w:abstractNumId w:val="0"/>
  </w:num>
  <w:num w:numId="28" w16cid:durableId="1375958021">
    <w:abstractNumId w:val="0"/>
  </w:num>
  <w:num w:numId="29" w16cid:durableId="1931692609">
    <w:abstractNumId w:val="0"/>
  </w:num>
  <w:num w:numId="30" w16cid:durableId="211499500">
    <w:abstractNumId w:val="0"/>
  </w:num>
  <w:num w:numId="31" w16cid:durableId="156044182">
    <w:abstractNumId w:val="0"/>
  </w:num>
  <w:num w:numId="32" w16cid:durableId="1288320200">
    <w:abstractNumId w:val="0"/>
  </w:num>
  <w:num w:numId="33" w16cid:durableId="23020938">
    <w:abstractNumId w:val="0"/>
  </w:num>
  <w:num w:numId="34" w16cid:durableId="1687170964">
    <w:abstractNumId w:val="0"/>
  </w:num>
  <w:num w:numId="35" w16cid:durableId="567230824">
    <w:abstractNumId w:val="0"/>
  </w:num>
  <w:num w:numId="36" w16cid:durableId="612513089">
    <w:abstractNumId w:val="0"/>
  </w:num>
  <w:num w:numId="37" w16cid:durableId="1108697325">
    <w:abstractNumId w:val="25"/>
  </w:num>
  <w:num w:numId="38" w16cid:durableId="970095806">
    <w:abstractNumId w:val="12"/>
  </w:num>
  <w:num w:numId="39" w16cid:durableId="904335469">
    <w:abstractNumId w:val="1"/>
  </w:num>
  <w:num w:numId="40" w16cid:durableId="656803787">
    <w:abstractNumId w:val="23"/>
  </w:num>
  <w:num w:numId="41" w16cid:durableId="739982445">
    <w:abstractNumId w:val="16"/>
  </w:num>
  <w:num w:numId="42" w16cid:durableId="138310745">
    <w:abstractNumId w:val="2"/>
  </w:num>
  <w:num w:numId="43" w16cid:durableId="1002776801">
    <w:abstractNumId w:val="3"/>
  </w:num>
  <w:num w:numId="44" w16cid:durableId="604072604">
    <w:abstractNumId w:val="7"/>
  </w:num>
  <w:num w:numId="45" w16cid:durableId="2093894536">
    <w:abstractNumId w:val="21"/>
  </w:num>
  <w:num w:numId="46" w16cid:durableId="1410419448">
    <w:abstractNumId w:val="13"/>
  </w:num>
  <w:num w:numId="47" w16cid:durableId="2069184297">
    <w:abstractNumId w:val="9"/>
  </w:num>
  <w:num w:numId="48" w16cid:durableId="2094666660">
    <w:abstractNumId w:val="10"/>
  </w:num>
  <w:num w:numId="49" w16cid:durableId="1996755822">
    <w:abstractNumId w:val="4"/>
  </w:num>
  <w:num w:numId="50" w16cid:durableId="75813956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DDC"/>
    <w:rsid w:val="000008D9"/>
    <w:rsid w:val="00001757"/>
    <w:rsid w:val="000104FC"/>
    <w:rsid w:val="000106F5"/>
    <w:rsid w:val="0001306C"/>
    <w:rsid w:val="000131B4"/>
    <w:rsid w:val="00013A1A"/>
    <w:rsid w:val="00022A79"/>
    <w:rsid w:val="00022A9F"/>
    <w:rsid w:val="00023AE2"/>
    <w:rsid w:val="00027254"/>
    <w:rsid w:val="00027E1A"/>
    <w:rsid w:val="00037266"/>
    <w:rsid w:val="00043039"/>
    <w:rsid w:val="00043579"/>
    <w:rsid w:val="00044C42"/>
    <w:rsid w:val="000511E6"/>
    <w:rsid w:val="00051A07"/>
    <w:rsid w:val="00054153"/>
    <w:rsid w:val="00057AB8"/>
    <w:rsid w:val="00063328"/>
    <w:rsid w:val="00063846"/>
    <w:rsid w:val="00066923"/>
    <w:rsid w:val="0008404C"/>
    <w:rsid w:val="00085948"/>
    <w:rsid w:val="00094A31"/>
    <w:rsid w:val="00097315"/>
    <w:rsid w:val="00097800"/>
    <w:rsid w:val="000A24B2"/>
    <w:rsid w:val="000B3340"/>
    <w:rsid w:val="000B6E55"/>
    <w:rsid w:val="000B7CEE"/>
    <w:rsid w:val="000C2B3E"/>
    <w:rsid w:val="000C7363"/>
    <w:rsid w:val="000D1355"/>
    <w:rsid w:val="000D13A8"/>
    <w:rsid w:val="000D18EC"/>
    <w:rsid w:val="000D5435"/>
    <w:rsid w:val="000D550A"/>
    <w:rsid w:val="000E038A"/>
    <w:rsid w:val="000E3273"/>
    <w:rsid w:val="000E3465"/>
    <w:rsid w:val="000E71B4"/>
    <w:rsid w:val="000F0477"/>
    <w:rsid w:val="000F13D2"/>
    <w:rsid w:val="000F3968"/>
    <w:rsid w:val="00104935"/>
    <w:rsid w:val="00110EEB"/>
    <w:rsid w:val="001111B2"/>
    <w:rsid w:val="001159CE"/>
    <w:rsid w:val="00122167"/>
    <w:rsid w:val="00122D8D"/>
    <w:rsid w:val="0012398C"/>
    <w:rsid w:val="00123DA0"/>
    <w:rsid w:val="00124C14"/>
    <w:rsid w:val="00124C1B"/>
    <w:rsid w:val="00125B30"/>
    <w:rsid w:val="001321C5"/>
    <w:rsid w:val="001350CD"/>
    <w:rsid w:val="0013545B"/>
    <w:rsid w:val="001358AA"/>
    <w:rsid w:val="00141D75"/>
    <w:rsid w:val="0014655B"/>
    <w:rsid w:val="00151D20"/>
    <w:rsid w:val="0015436F"/>
    <w:rsid w:val="00155FB7"/>
    <w:rsid w:val="00160213"/>
    <w:rsid w:val="001608F3"/>
    <w:rsid w:val="001762C7"/>
    <w:rsid w:val="00177154"/>
    <w:rsid w:val="00181D38"/>
    <w:rsid w:val="00182108"/>
    <w:rsid w:val="00186849"/>
    <w:rsid w:val="001928C6"/>
    <w:rsid w:val="00195A73"/>
    <w:rsid w:val="001A408F"/>
    <w:rsid w:val="001B2D21"/>
    <w:rsid w:val="001B5E3E"/>
    <w:rsid w:val="001C0233"/>
    <w:rsid w:val="001C5728"/>
    <w:rsid w:val="001D601C"/>
    <w:rsid w:val="001D7CA3"/>
    <w:rsid w:val="001E0A4C"/>
    <w:rsid w:val="001E3FDE"/>
    <w:rsid w:val="001E420F"/>
    <w:rsid w:val="001E6AA4"/>
    <w:rsid w:val="001E6FC7"/>
    <w:rsid w:val="001F4223"/>
    <w:rsid w:val="00204E99"/>
    <w:rsid w:val="00207651"/>
    <w:rsid w:val="00216772"/>
    <w:rsid w:val="00216EEA"/>
    <w:rsid w:val="002170E6"/>
    <w:rsid w:val="0022026D"/>
    <w:rsid w:val="00224149"/>
    <w:rsid w:val="002337DC"/>
    <w:rsid w:val="00241733"/>
    <w:rsid w:val="002455A6"/>
    <w:rsid w:val="00246FD0"/>
    <w:rsid w:val="00250499"/>
    <w:rsid w:val="002556F4"/>
    <w:rsid w:val="00255B1F"/>
    <w:rsid w:val="002570C8"/>
    <w:rsid w:val="00261BCA"/>
    <w:rsid w:val="00281EF6"/>
    <w:rsid w:val="002830BB"/>
    <w:rsid w:val="002856D6"/>
    <w:rsid w:val="00290BBB"/>
    <w:rsid w:val="002930A2"/>
    <w:rsid w:val="0029589B"/>
    <w:rsid w:val="002A5383"/>
    <w:rsid w:val="002B0898"/>
    <w:rsid w:val="002B106A"/>
    <w:rsid w:val="002B10FE"/>
    <w:rsid w:val="002B18BF"/>
    <w:rsid w:val="002B1A61"/>
    <w:rsid w:val="002B4D59"/>
    <w:rsid w:val="002B770F"/>
    <w:rsid w:val="002C5886"/>
    <w:rsid w:val="002D3BD8"/>
    <w:rsid w:val="002D6023"/>
    <w:rsid w:val="002E0055"/>
    <w:rsid w:val="002E1547"/>
    <w:rsid w:val="002E5AAF"/>
    <w:rsid w:val="0030037F"/>
    <w:rsid w:val="00301341"/>
    <w:rsid w:val="00301357"/>
    <w:rsid w:val="00301E32"/>
    <w:rsid w:val="0030224A"/>
    <w:rsid w:val="00303ED3"/>
    <w:rsid w:val="003110BA"/>
    <w:rsid w:val="00311281"/>
    <w:rsid w:val="00312042"/>
    <w:rsid w:val="00312A90"/>
    <w:rsid w:val="00313B78"/>
    <w:rsid w:val="0032399C"/>
    <w:rsid w:val="00325EB5"/>
    <w:rsid w:val="00330414"/>
    <w:rsid w:val="003314A2"/>
    <w:rsid w:val="00332F8B"/>
    <w:rsid w:val="00334DDC"/>
    <w:rsid w:val="00335B4C"/>
    <w:rsid w:val="00344625"/>
    <w:rsid w:val="0034473E"/>
    <w:rsid w:val="0034685D"/>
    <w:rsid w:val="00352CE0"/>
    <w:rsid w:val="003539BF"/>
    <w:rsid w:val="00355E3C"/>
    <w:rsid w:val="003708F2"/>
    <w:rsid w:val="00371559"/>
    <w:rsid w:val="00373DEC"/>
    <w:rsid w:val="00377351"/>
    <w:rsid w:val="00382780"/>
    <w:rsid w:val="0038389F"/>
    <w:rsid w:val="00384EEA"/>
    <w:rsid w:val="003869BE"/>
    <w:rsid w:val="003A1C2D"/>
    <w:rsid w:val="003B30E0"/>
    <w:rsid w:val="003B4D5A"/>
    <w:rsid w:val="003B5FDE"/>
    <w:rsid w:val="003B79A0"/>
    <w:rsid w:val="003C0031"/>
    <w:rsid w:val="003C0486"/>
    <w:rsid w:val="003C1F52"/>
    <w:rsid w:val="003C3340"/>
    <w:rsid w:val="003C65DE"/>
    <w:rsid w:val="003C78BA"/>
    <w:rsid w:val="003C7C32"/>
    <w:rsid w:val="003D0196"/>
    <w:rsid w:val="003D0AEF"/>
    <w:rsid w:val="003D2DB1"/>
    <w:rsid w:val="003D3EF1"/>
    <w:rsid w:val="003D5C01"/>
    <w:rsid w:val="003E777C"/>
    <w:rsid w:val="003E7BF8"/>
    <w:rsid w:val="003F0572"/>
    <w:rsid w:val="003F0634"/>
    <w:rsid w:val="003F3D13"/>
    <w:rsid w:val="003F63C0"/>
    <w:rsid w:val="00400838"/>
    <w:rsid w:val="004020FF"/>
    <w:rsid w:val="00406D9F"/>
    <w:rsid w:val="00406E26"/>
    <w:rsid w:val="00411FAD"/>
    <w:rsid w:val="00414C55"/>
    <w:rsid w:val="0041650A"/>
    <w:rsid w:val="00416BDB"/>
    <w:rsid w:val="00420380"/>
    <w:rsid w:val="00420715"/>
    <w:rsid w:val="004228F9"/>
    <w:rsid w:val="004316B8"/>
    <w:rsid w:val="004340EF"/>
    <w:rsid w:val="00434B25"/>
    <w:rsid w:val="00453FFD"/>
    <w:rsid w:val="004638AB"/>
    <w:rsid w:val="00477DCF"/>
    <w:rsid w:val="00485A0D"/>
    <w:rsid w:val="00486FD1"/>
    <w:rsid w:val="00490D48"/>
    <w:rsid w:val="004914D2"/>
    <w:rsid w:val="004A7237"/>
    <w:rsid w:val="004B4AC9"/>
    <w:rsid w:val="004B6FCD"/>
    <w:rsid w:val="004C061C"/>
    <w:rsid w:val="004C22CE"/>
    <w:rsid w:val="004C44A2"/>
    <w:rsid w:val="004C46E5"/>
    <w:rsid w:val="004D14B5"/>
    <w:rsid w:val="004E4804"/>
    <w:rsid w:val="004E7120"/>
    <w:rsid w:val="004F4987"/>
    <w:rsid w:val="005007F4"/>
    <w:rsid w:val="0050208B"/>
    <w:rsid w:val="0050281C"/>
    <w:rsid w:val="0050619C"/>
    <w:rsid w:val="0050623E"/>
    <w:rsid w:val="00510FAE"/>
    <w:rsid w:val="00511CA3"/>
    <w:rsid w:val="0051254C"/>
    <w:rsid w:val="00515E0C"/>
    <w:rsid w:val="0051663D"/>
    <w:rsid w:val="005168CC"/>
    <w:rsid w:val="00520612"/>
    <w:rsid w:val="00521BFD"/>
    <w:rsid w:val="0052286F"/>
    <w:rsid w:val="00523D5C"/>
    <w:rsid w:val="00524E61"/>
    <w:rsid w:val="00525D2F"/>
    <w:rsid w:val="00527A44"/>
    <w:rsid w:val="005362B3"/>
    <w:rsid w:val="005367D9"/>
    <w:rsid w:val="00541130"/>
    <w:rsid w:val="00541785"/>
    <w:rsid w:val="00545A3A"/>
    <w:rsid w:val="00552B0B"/>
    <w:rsid w:val="00552D6B"/>
    <w:rsid w:val="005532F0"/>
    <w:rsid w:val="00555A46"/>
    <w:rsid w:val="00557AD3"/>
    <w:rsid w:val="00557FE0"/>
    <w:rsid w:val="005710D4"/>
    <w:rsid w:val="00571171"/>
    <w:rsid w:val="0057212D"/>
    <w:rsid w:val="0057356B"/>
    <w:rsid w:val="00573AB3"/>
    <w:rsid w:val="00577E7B"/>
    <w:rsid w:val="00577FDB"/>
    <w:rsid w:val="00580E63"/>
    <w:rsid w:val="00581CC8"/>
    <w:rsid w:val="005932C3"/>
    <w:rsid w:val="0059353B"/>
    <w:rsid w:val="00595025"/>
    <w:rsid w:val="00595062"/>
    <w:rsid w:val="00596F9E"/>
    <w:rsid w:val="00597AA5"/>
    <w:rsid w:val="005A452A"/>
    <w:rsid w:val="005A6CF0"/>
    <w:rsid w:val="005B1997"/>
    <w:rsid w:val="005C0361"/>
    <w:rsid w:val="005C2BE3"/>
    <w:rsid w:val="005C3146"/>
    <w:rsid w:val="005C6EDC"/>
    <w:rsid w:val="005D00AC"/>
    <w:rsid w:val="005D17F3"/>
    <w:rsid w:val="005E3CDE"/>
    <w:rsid w:val="005E44B3"/>
    <w:rsid w:val="005E682C"/>
    <w:rsid w:val="005F0D50"/>
    <w:rsid w:val="005F5A41"/>
    <w:rsid w:val="005F5A95"/>
    <w:rsid w:val="00601854"/>
    <w:rsid w:val="00601B5D"/>
    <w:rsid w:val="0060672E"/>
    <w:rsid w:val="00610FEE"/>
    <w:rsid w:val="00613D2C"/>
    <w:rsid w:val="00617F1E"/>
    <w:rsid w:val="00621C44"/>
    <w:rsid w:val="00624675"/>
    <w:rsid w:val="006247D5"/>
    <w:rsid w:val="00624F46"/>
    <w:rsid w:val="00631231"/>
    <w:rsid w:val="006346D4"/>
    <w:rsid w:val="00636CD9"/>
    <w:rsid w:val="00640597"/>
    <w:rsid w:val="006426DB"/>
    <w:rsid w:val="00644CE0"/>
    <w:rsid w:val="00645156"/>
    <w:rsid w:val="00646A34"/>
    <w:rsid w:val="00647C6D"/>
    <w:rsid w:val="006530E5"/>
    <w:rsid w:val="006629C9"/>
    <w:rsid w:val="00665D09"/>
    <w:rsid w:val="0067134A"/>
    <w:rsid w:val="00676DA4"/>
    <w:rsid w:val="006848C0"/>
    <w:rsid w:val="006859B4"/>
    <w:rsid w:val="00686F0D"/>
    <w:rsid w:val="00690A8F"/>
    <w:rsid w:val="00692425"/>
    <w:rsid w:val="0069366F"/>
    <w:rsid w:val="006949DF"/>
    <w:rsid w:val="00696C1B"/>
    <w:rsid w:val="006A5C40"/>
    <w:rsid w:val="006A6447"/>
    <w:rsid w:val="006B6B2E"/>
    <w:rsid w:val="006B7E4A"/>
    <w:rsid w:val="006C1B72"/>
    <w:rsid w:val="006C219B"/>
    <w:rsid w:val="006C2AB1"/>
    <w:rsid w:val="006C6091"/>
    <w:rsid w:val="006D074C"/>
    <w:rsid w:val="006D296E"/>
    <w:rsid w:val="006D7BBD"/>
    <w:rsid w:val="006E1B83"/>
    <w:rsid w:val="006F11AE"/>
    <w:rsid w:val="006F51A9"/>
    <w:rsid w:val="006F549B"/>
    <w:rsid w:val="00707F41"/>
    <w:rsid w:val="00711C4A"/>
    <w:rsid w:val="007128D7"/>
    <w:rsid w:val="00714894"/>
    <w:rsid w:val="00717533"/>
    <w:rsid w:val="00721B0D"/>
    <w:rsid w:val="007244B3"/>
    <w:rsid w:val="00733B75"/>
    <w:rsid w:val="007360B9"/>
    <w:rsid w:val="00736C8F"/>
    <w:rsid w:val="00737B74"/>
    <w:rsid w:val="007419B9"/>
    <w:rsid w:val="0074304D"/>
    <w:rsid w:val="00744B0F"/>
    <w:rsid w:val="00744EE8"/>
    <w:rsid w:val="00750A7C"/>
    <w:rsid w:val="00751568"/>
    <w:rsid w:val="00755ADC"/>
    <w:rsid w:val="00757CE6"/>
    <w:rsid w:val="00763ED1"/>
    <w:rsid w:val="007656DF"/>
    <w:rsid w:val="007677C4"/>
    <w:rsid w:val="00775BEF"/>
    <w:rsid w:val="00780214"/>
    <w:rsid w:val="00783FB7"/>
    <w:rsid w:val="007876D3"/>
    <w:rsid w:val="007913F2"/>
    <w:rsid w:val="00793266"/>
    <w:rsid w:val="007947F6"/>
    <w:rsid w:val="007948C6"/>
    <w:rsid w:val="00794FC3"/>
    <w:rsid w:val="0079510C"/>
    <w:rsid w:val="00795E5C"/>
    <w:rsid w:val="007965DF"/>
    <w:rsid w:val="00796642"/>
    <w:rsid w:val="007974BE"/>
    <w:rsid w:val="007A6F79"/>
    <w:rsid w:val="007B3E50"/>
    <w:rsid w:val="007B66C3"/>
    <w:rsid w:val="007C075A"/>
    <w:rsid w:val="007C44E9"/>
    <w:rsid w:val="007C5DD1"/>
    <w:rsid w:val="007D025D"/>
    <w:rsid w:val="007D1CA6"/>
    <w:rsid w:val="007D4C5E"/>
    <w:rsid w:val="007D5608"/>
    <w:rsid w:val="007D589B"/>
    <w:rsid w:val="007E030B"/>
    <w:rsid w:val="007E0807"/>
    <w:rsid w:val="007E36BC"/>
    <w:rsid w:val="007E7D45"/>
    <w:rsid w:val="007F1BD0"/>
    <w:rsid w:val="007F3E2F"/>
    <w:rsid w:val="007F4978"/>
    <w:rsid w:val="00803156"/>
    <w:rsid w:val="00803A8F"/>
    <w:rsid w:val="00803EA8"/>
    <w:rsid w:val="008103B1"/>
    <w:rsid w:val="0081578F"/>
    <w:rsid w:val="008177AA"/>
    <w:rsid w:val="00822D60"/>
    <w:rsid w:val="00826D91"/>
    <w:rsid w:val="00830B91"/>
    <w:rsid w:val="00830CA7"/>
    <w:rsid w:val="0083226F"/>
    <w:rsid w:val="008327EB"/>
    <w:rsid w:val="0083459E"/>
    <w:rsid w:val="00835523"/>
    <w:rsid w:val="00835AFB"/>
    <w:rsid w:val="0084162B"/>
    <w:rsid w:val="00843E57"/>
    <w:rsid w:val="00851DC2"/>
    <w:rsid w:val="008557B5"/>
    <w:rsid w:val="00862F4A"/>
    <w:rsid w:val="00863667"/>
    <w:rsid w:val="00866B4A"/>
    <w:rsid w:val="0086713E"/>
    <w:rsid w:val="00867857"/>
    <w:rsid w:val="00874A76"/>
    <w:rsid w:val="00875D46"/>
    <w:rsid w:val="0087641F"/>
    <w:rsid w:val="00876AF8"/>
    <w:rsid w:val="00885395"/>
    <w:rsid w:val="008963F0"/>
    <w:rsid w:val="00897F07"/>
    <w:rsid w:val="008A1475"/>
    <w:rsid w:val="008B53C5"/>
    <w:rsid w:val="008C70A2"/>
    <w:rsid w:val="008D3F11"/>
    <w:rsid w:val="008D5990"/>
    <w:rsid w:val="008D59D0"/>
    <w:rsid w:val="008E0738"/>
    <w:rsid w:val="008F74EE"/>
    <w:rsid w:val="00907515"/>
    <w:rsid w:val="00907642"/>
    <w:rsid w:val="0091065C"/>
    <w:rsid w:val="00911C37"/>
    <w:rsid w:val="00912C49"/>
    <w:rsid w:val="0091308A"/>
    <w:rsid w:val="00913D25"/>
    <w:rsid w:val="00916CDB"/>
    <w:rsid w:val="00920E3E"/>
    <w:rsid w:val="00921847"/>
    <w:rsid w:val="00931640"/>
    <w:rsid w:val="0093253A"/>
    <w:rsid w:val="00934BD2"/>
    <w:rsid w:val="00935709"/>
    <w:rsid w:val="00936B57"/>
    <w:rsid w:val="00940254"/>
    <w:rsid w:val="009452F2"/>
    <w:rsid w:val="00956AD0"/>
    <w:rsid w:val="00957C95"/>
    <w:rsid w:val="00960E9C"/>
    <w:rsid w:val="00961612"/>
    <w:rsid w:val="00962CF6"/>
    <w:rsid w:val="009643B8"/>
    <w:rsid w:val="00967213"/>
    <w:rsid w:val="00971A86"/>
    <w:rsid w:val="00971DD3"/>
    <w:rsid w:val="0097459F"/>
    <w:rsid w:val="00980E00"/>
    <w:rsid w:val="00982A35"/>
    <w:rsid w:val="00983BC5"/>
    <w:rsid w:val="00985FFB"/>
    <w:rsid w:val="009869C4"/>
    <w:rsid w:val="009A0A28"/>
    <w:rsid w:val="009A3149"/>
    <w:rsid w:val="009A5C6D"/>
    <w:rsid w:val="009B4573"/>
    <w:rsid w:val="009C4B49"/>
    <w:rsid w:val="009C5819"/>
    <w:rsid w:val="009C61C5"/>
    <w:rsid w:val="009D04F1"/>
    <w:rsid w:val="009D08F6"/>
    <w:rsid w:val="009D105F"/>
    <w:rsid w:val="009D3B7F"/>
    <w:rsid w:val="009D42F9"/>
    <w:rsid w:val="009D474D"/>
    <w:rsid w:val="009E1B48"/>
    <w:rsid w:val="009E6069"/>
    <w:rsid w:val="009F1033"/>
    <w:rsid w:val="009F192B"/>
    <w:rsid w:val="009F37EB"/>
    <w:rsid w:val="009F423D"/>
    <w:rsid w:val="009F57A6"/>
    <w:rsid w:val="009F5A86"/>
    <w:rsid w:val="009F5C27"/>
    <w:rsid w:val="009F61A8"/>
    <w:rsid w:val="009F65D9"/>
    <w:rsid w:val="00A0797F"/>
    <w:rsid w:val="00A108A5"/>
    <w:rsid w:val="00A11696"/>
    <w:rsid w:val="00A13A92"/>
    <w:rsid w:val="00A142E0"/>
    <w:rsid w:val="00A15302"/>
    <w:rsid w:val="00A16292"/>
    <w:rsid w:val="00A176D5"/>
    <w:rsid w:val="00A230C1"/>
    <w:rsid w:val="00A32013"/>
    <w:rsid w:val="00A377E6"/>
    <w:rsid w:val="00A45915"/>
    <w:rsid w:val="00A54E9E"/>
    <w:rsid w:val="00A62428"/>
    <w:rsid w:val="00A637AB"/>
    <w:rsid w:val="00A74362"/>
    <w:rsid w:val="00A75C8E"/>
    <w:rsid w:val="00A83185"/>
    <w:rsid w:val="00A83DD4"/>
    <w:rsid w:val="00A9085A"/>
    <w:rsid w:val="00A936CF"/>
    <w:rsid w:val="00A93E9B"/>
    <w:rsid w:val="00A95CC8"/>
    <w:rsid w:val="00AA172E"/>
    <w:rsid w:val="00AA266D"/>
    <w:rsid w:val="00AA4209"/>
    <w:rsid w:val="00AB0E04"/>
    <w:rsid w:val="00AB4A7C"/>
    <w:rsid w:val="00AB6180"/>
    <w:rsid w:val="00AB677E"/>
    <w:rsid w:val="00AC2123"/>
    <w:rsid w:val="00AC7033"/>
    <w:rsid w:val="00AD11AC"/>
    <w:rsid w:val="00AD4699"/>
    <w:rsid w:val="00AE4B89"/>
    <w:rsid w:val="00AF1FD5"/>
    <w:rsid w:val="00B03C49"/>
    <w:rsid w:val="00B054B9"/>
    <w:rsid w:val="00B1158B"/>
    <w:rsid w:val="00B116C8"/>
    <w:rsid w:val="00B1264C"/>
    <w:rsid w:val="00B13499"/>
    <w:rsid w:val="00B137C0"/>
    <w:rsid w:val="00B162BC"/>
    <w:rsid w:val="00B219A0"/>
    <w:rsid w:val="00B22666"/>
    <w:rsid w:val="00B253F6"/>
    <w:rsid w:val="00B25AD8"/>
    <w:rsid w:val="00B311B9"/>
    <w:rsid w:val="00B34586"/>
    <w:rsid w:val="00B3660B"/>
    <w:rsid w:val="00B451A8"/>
    <w:rsid w:val="00B4674E"/>
    <w:rsid w:val="00B47A51"/>
    <w:rsid w:val="00B55A35"/>
    <w:rsid w:val="00B55AA4"/>
    <w:rsid w:val="00B615BC"/>
    <w:rsid w:val="00B63355"/>
    <w:rsid w:val="00B72256"/>
    <w:rsid w:val="00B81BCF"/>
    <w:rsid w:val="00B831F8"/>
    <w:rsid w:val="00B849FE"/>
    <w:rsid w:val="00B865AA"/>
    <w:rsid w:val="00B9492B"/>
    <w:rsid w:val="00BA1758"/>
    <w:rsid w:val="00BA79F8"/>
    <w:rsid w:val="00BB3EEE"/>
    <w:rsid w:val="00BB7EDD"/>
    <w:rsid w:val="00BC231F"/>
    <w:rsid w:val="00BC4FFD"/>
    <w:rsid w:val="00BD25CF"/>
    <w:rsid w:val="00BD606C"/>
    <w:rsid w:val="00BE22EA"/>
    <w:rsid w:val="00BF3184"/>
    <w:rsid w:val="00BF4340"/>
    <w:rsid w:val="00BF44BF"/>
    <w:rsid w:val="00C0085F"/>
    <w:rsid w:val="00C01FAD"/>
    <w:rsid w:val="00C0366D"/>
    <w:rsid w:val="00C11BDA"/>
    <w:rsid w:val="00C12012"/>
    <w:rsid w:val="00C1611D"/>
    <w:rsid w:val="00C24A58"/>
    <w:rsid w:val="00C254A4"/>
    <w:rsid w:val="00C27B87"/>
    <w:rsid w:val="00C3191C"/>
    <w:rsid w:val="00C323EF"/>
    <w:rsid w:val="00C35007"/>
    <w:rsid w:val="00C42205"/>
    <w:rsid w:val="00C4246A"/>
    <w:rsid w:val="00C43004"/>
    <w:rsid w:val="00C46F55"/>
    <w:rsid w:val="00C5385B"/>
    <w:rsid w:val="00C5650B"/>
    <w:rsid w:val="00C60EB6"/>
    <w:rsid w:val="00C628F5"/>
    <w:rsid w:val="00C66D53"/>
    <w:rsid w:val="00C8101B"/>
    <w:rsid w:val="00C81345"/>
    <w:rsid w:val="00C8255A"/>
    <w:rsid w:val="00C91516"/>
    <w:rsid w:val="00C923BB"/>
    <w:rsid w:val="00C94CCF"/>
    <w:rsid w:val="00C975C5"/>
    <w:rsid w:val="00C97E3D"/>
    <w:rsid w:val="00CA359E"/>
    <w:rsid w:val="00CA503D"/>
    <w:rsid w:val="00CA68DC"/>
    <w:rsid w:val="00CB0107"/>
    <w:rsid w:val="00CB06E8"/>
    <w:rsid w:val="00CB1704"/>
    <w:rsid w:val="00CB3D7E"/>
    <w:rsid w:val="00CC08F1"/>
    <w:rsid w:val="00CC23D9"/>
    <w:rsid w:val="00CC43E8"/>
    <w:rsid w:val="00CC611D"/>
    <w:rsid w:val="00CD1E9A"/>
    <w:rsid w:val="00CD5D92"/>
    <w:rsid w:val="00CD6EC3"/>
    <w:rsid w:val="00CD7CC5"/>
    <w:rsid w:val="00CD7F4F"/>
    <w:rsid w:val="00CE02FA"/>
    <w:rsid w:val="00CE2CFE"/>
    <w:rsid w:val="00CE4891"/>
    <w:rsid w:val="00CF0531"/>
    <w:rsid w:val="00CF11B9"/>
    <w:rsid w:val="00CF3A6E"/>
    <w:rsid w:val="00CF58DE"/>
    <w:rsid w:val="00CF7F32"/>
    <w:rsid w:val="00D003FC"/>
    <w:rsid w:val="00D05970"/>
    <w:rsid w:val="00D05BF3"/>
    <w:rsid w:val="00D06782"/>
    <w:rsid w:val="00D06F24"/>
    <w:rsid w:val="00D10FA6"/>
    <w:rsid w:val="00D11BEA"/>
    <w:rsid w:val="00D12F09"/>
    <w:rsid w:val="00D13AF0"/>
    <w:rsid w:val="00D15E47"/>
    <w:rsid w:val="00D17081"/>
    <w:rsid w:val="00D20C0E"/>
    <w:rsid w:val="00D24841"/>
    <w:rsid w:val="00D26831"/>
    <w:rsid w:val="00D33805"/>
    <w:rsid w:val="00D40357"/>
    <w:rsid w:val="00D40FC5"/>
    <w:rsid w:val="00D4167B"/>
    <w:rsid w:val="00D45712"/>
    <w:rsid w:val="00D47E23"/>
    <w:rsid w:val="00D56076"/>
    <w:rsid w:val="00D60798"/>
    <w:rsid w:val="00D60857"/>
    <w:rsid w:val="00D67756"/>
    <w:rsid w:val="00D72D9E"/>
    <w:rsid w:val="00D75618"/>
    <w:rsid w:val="00D8492D"/>
    <w:rsid w:val="00D85610"/>
    <w:rsid w:val="00DB68DB"/>
    <w:rsid w:val="00DB7043"/>
    <w:rsid w:val="00DC081C"/>
    <w:rsid w:val="00DD3FF7"/>
    <w:rsid w:val="00DD79D5"/>
    <w:rsid w:val="00DE34F8"/>
    <w:rsid w:val="00DE426F"/>
    <w:rsid w:val="00DE49E1"/>
    <w:rsid w:val="00DE57C6"/>
    <w:rsid w:val="00DE57DD"/>
    <w:rsid w:val="00DF1374"/>
    <w:rsid w:val="00DF395C"/>
    <w:rsid w:val="00DF4CB7"/>
    <w:rsid w:val="00DF56FE"/>
    <w:rsid w:val="00DF64A6"/>
    <w:rsid w:val="00E015DF"/>
    <w:rsid w:val="00E0768D"/>
    <w:rsid w:val="00E132FC"/>
    <w:rsid w:val="00E21ADA"/>
    <w:rsid w:val="00E224A1"/>
    <w:rsid w:val="00E22822"/>
    <w:rsid w:val="00E27A4F"/>
    <w:rsid w:val="00E30F5C"/>
    <w:rsid w:val="00E33465"/>
    <w:rsid w:val="00E34F9B"/>
    <w:rsid w:val="00E41E22"/>
    <w:rsid w:val="00E47EE6"/>
    <w:rsid w:val="00E50582"/>
    <w:rsid w:val="00E525BE"/>
    <w:rsid w:val="00E57527"/>
    <w:rsid w:val="00E71D35"/>
    <w:rsid w:val="00E768C5"/>
    <w:rsid w:val="00E862BD"/>
    <w:rsid w:val="00E90E73"/>
    <w:rsid w:val="00E955ED"/>
    <w:rsid w:val="00E95ABC"/>
    <w:rsid w:val="00E9E53D"/>
    <w:rsid w:val="00EA3033"/>
    <w:rsid w:val="00EA55DB"/>
    <w:rsid w:val="00EB1793"/>
    <w:rsid w:val="00EB1CBB"/>
    <w:rsid w:val="00EB5144"/>
    <w:rsid w:val="00EB516C"/>
    <w:rsid w:val="00EB7F52"/>
    <w:rsid w:val="00EC087E"/>
    <w:rsid w:val="00EC2614"/>
    <w:rsid w:val="00ED04C7"/>
    <w:rsid w:val="00ED0FC0"/>
    <w:rsid w:val="00ED2B3C"/>
    <w:rsid w:val="00ED309D"/>
    <w:rsid w:val="00ED7271"/>
    <w:rsid w:val="00EE03F0"/>
    <w:rsid w:val="00EE11A0"/>
    <w:rsid w:val="00EE63A9"/>
    <w:rsid w:val="00EF4E25"/>
    <w:rsid w:val="00EF5D40"/>
    <w:rsid w:val="00EF6063"/>
    <w:rsid w:val="00F00878"/>
    <w:rsid w:val="00F00EFF"/>
    <w:rsid w:val="00F034DB"/>
    <w:rsid w:val="00F110ED"/>
    <w:rsid w:val="00F129E1"/>
    <w:rsid w:val="00F15103"/>
    <w:rsid w:val="00F20E8D"/>
    <w:rsid w:val="00F3042B"/>
    <w:rsid w:val="00F3150F"/>
    <w:rsid w:val="00F31F45"/>
    <w:rsid w:val="00F32E28"/>
    <w:rsid w:val="00F37C35"/>
    <w:rsid w:val="00F43F11"/>
    <w:rsid w:val="00F44AB8"/>
    <w:rsid w:val="00F45AAA"/>
    <w:rsid w:val="00F45C7F"/>
    <w:rsid w:val="00F46D10"/>
    <w:rsid w:val="00F475F8"/>
    <w:rsid w:val="00F5083A"/>
    <w:rsid w:val="00F50F9A"/>
    <w:rsid w:val="00F51682"/>
    <w:rsid w:val="00F52CCE"/>
    <w:rsid w:val="00F54568"/>
    <w:rsid w:val="00F608B9"/>
    <w:rsid w:val="00F608DB"/>
    <w:rsid w:val="00F72864"/>
    <w:rsid w:val="00F77C08"/>
    <w:rsid w:val="00F83E0F"/>
    <w:rsid w:val="00F86746"/>
    <w:rsid w:val="00F9651B"/>
    <w:rsid w:val="00F97941"/>
    <w:rsid w:val="00FA0E2B"/>
    <w:rsid w:val="00FA531E"/>
    <w:rsid w:val="00FA5C81"/>
    <w:rsid w:val="00FA735E"/>
    <w:rsid w:val="00FC2463"/>
    <w:rsid w:val="00FC26D0"/>
    <w:rsid w:val="00FC4BF1"/>
    <w:rsid w:val="00FC5EF1"/>
    <w:rsid w:val="00FC7BEC"/>
    <w:rsid w:val="00FD4F88"/>
    <w:rsid w:val="00FE2CA8"/>
    <w:rsid w:val="00FE3E61"/>
    <w:rsid w:val="00FE4A06"/>
    <w:rsid w:val="018998ED"/>
    <w:rsid w:val="01C56524"/>
    <w:rsid w:val="042185FF"/>
    <w:rsid w:val="0438D74E"/>
    <w:rsid w:val="067FCAD6"/>
    <w:rsid w:val="077EC4EE"/>
    <w:rsid w:val="084DFA0D"/>
    <w:rsid w:val="089D639B"/>
    <w:rsid w:val="0B858CC5"/>
    <w:rsid w:val="0BB63DA5"/>
    <w:rsid w:val="0CF3AC1B"/>
    <w:rsid w:val="0D05A351"/>
    <w:rsid w:val="0D451A3B"/>
    <w:rsid w:val="0DA070A5"/>
    <w:rsid w:val="0E4B8E82"/>
    <w:rsid w:val="0F4DB8C8"/>
    <w:rsid w:val="0FA13750"/>
    <w:rsid w:val="100F3C91"/>
    <w:rsid w:val="10AEF5EB"/>
    <w:rsid w:val="10C6C7E1"/>
    <w:rsid w:val="1262879C"/>
    <w:rsid w:val="141E816C"/>
    <w:rsid w:val="142E1AC4"/>
    <w:rsid w:val="14349A20"/>
    <w:rsid w:val="14554AAA"/>
    <w:rsid w:val="1542AA62"/>
    <w:rsid w:val="15738A88"/>
    <w:rsid w:val="16E3B21F"/>
    <w:rsid w:val="170D34D3"/>
    <w:rsid w:val="18F33812"/>
    <w:rsid w:val="19F4A3D7"/>
    <w:rsid w:val="1B283E31"/>
    <w:rsid w:val="1BE357AF"/>
    <w:rsid w:val="1C444A7E"/>
    <w:rsid w:val="1CD6E3C9"/>
    <w:rsid w:val="1D92AE95"/>
    <w:rsid w:val="1DCD5138"/>
    <w:rsid w:val="21A9ACFC"/>
    <w:rsid w:val="2529FBA8"/>
    <w:rsid w:val="26AB102D"/>
    <w:rsid w:val="272BD320"/>
    <w:rsid w:val="2ABEAD46"/>
    <w:rsid w:val="2B038D8B"/>
    <w:rsid w:val="2BE13FA2"/>
    <w:rsid w:val="2CA8F4B8"/>
    <w:rsid w:val="2D3B595A"/>
    <w:rsid w:val="2D6E7580"/>
    <w:rsid w:val="31669C8E"/>
    <w:rsid w:val="3331F069"/>
    <w:rsid w:val="33D50BE4"/>
    <w:rsid w:val="345B7F94"/>
    <w:rsid w:val="347FFEA7"/>
    <w:rsid w:val="3499B192"/>
    <w:rsid w:val="3527BA49"/>
    <w:rsid w:val="362FE2B7"/>
    <w:rsid w:val="36521750"/>
    <w:rsid w:val="375E45EF"/>
    <w:rsid w:val="377DB5F3"/>
    <w:rsid w:val="38C4755A"/>
    <w:rsid w:val="3EA6D99C"/>
    <w:rsid w:val="3FFEA6CA"/>
    <w:rsid w:val="406723CA"/>
    <w:rsid w:val="423F19F4"/>
    <w:rsid w:val="43353476"/>
    <w:rsid w:val="441653FB"/>
    <w:rsid w:val="45109461"/>
    <w:rsid w:val="452CF508"/>
    <w:rsid w:val="45564DEC"/>
    <w:rsid w:val="465647D0"/>
    <w:rsid w:val="46BAED06"/>
    <w:rsid w:val="47FB623F"/>
    <w:rsid w:val="4AF9D2F6"/>
    <w:rsid w:val="4B747276"/>
    <w:rsid w:val="4D09E744"/>
    <w:rsid w:val="4E096046"/>
    <w:rsid w:val="4E1506F0"/>
    <w:rsid w:val="4E6A8FFE"/>
    <w:rsid w:val="4F4263AB"/>
    <w:rsid w:val="52BCE6BD"/>
    <w:rsid w:val="52FF9D66"/>
    <w:rsid w:val="538813F9"/>
    <w:rsid w:val="55D70164"/>
    <w:rsid w:val="5777958C"/>
    <w:rsid w:val="57D003A7"/>
    <w:rsid w:val="587FFE9B"/>
    <w:rsid w:val="591CA9E2"/>
    <w:rsid w:val="597A4477"/>
    <w:rsid w:val="5B5771FF"/>
    <w:rsid w:val="5D0EFB96"/>
    <w:rsid w:val="5E9CB27F"/>
    <w:rsid w:val="5F0B9A42"/>
    <w:rsid w:val="631CD069"/>
    <w:rsid w:val="638CEB24"/>
    <w:rsid w:val="64A13ABB"/>
    <w:rsid w:val="64CC2790"/>
    <w:rsid w:val="64EBF467"/>
    <w:rsid w:val="653D9089"/>
    <w:rsid w:val="67EE06BD"/>
    <w:rsid w:val="684C67D5"/>
    <w:rsid w:val="69122E5B"/>
    <w:rsid w:val="69731F21"/>
    <w:rsid w:val="6D370148"/>
    <w:rsid w:val="6E05C2F4"/>
    <w:rsid w:val="6E3434A4"/>
    <w:rsid w:val="6EC9904E"/>
    <w:rsid w:val="702D31EE"/>
    <w:rsid w:val="70C6D29B"/>
    <w:rsid w:val="74BE71FF"/>
    <w:rsid w:val="7509FCEC"/>
    <w:rsid w:val="793BDDE3"/>
    <w:rsid w:val="794714E6"/>
    <w:rsid w:val="7986E0C5"/>
    <w:rsid w:val="79E0F55B"/>
    <w:rsid w:val="7B32BA71"/>
    <w:rsid w:val="7ED65B4D"/>
    <w:rsid w:val="7F6890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EADBB"/>
  <w14:defaultImageDpi w14:val="32767"/>
  <w15:chartTrackingRefBased/>
  <w15:docId w15:val="{5238F4A3-0F09-4229-A908-4EEDAF454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BD2"/>
    <w:pPr>
      <w:spacing w:before="80" w:after="80"/>
    </w:pPr>
    <w:rPr>
      <w:rFonts w:ascii="Arial" w:eastAsiaTheme="minorEastAsia" w:hAnsi="Arial"/>
      <w:sz w:val="22"/>
    </w:rPr>
  </w:style>
  <w:style w:type="paragraph" w:styleId="Heading1">
    <w:name w:val="heading 1"/>
    <w:basedOn w:val="Normal"/>
    <w:next w:val="Normal"/>
    <w:link w:val="Heading1Char"/>
    <w:autoRedefine/>
    <w:uiPriority w:val="9"/>
    <w:qFormat/>
    <w:rsid w:val="001E420F"/>
    <w:pPr>
      <w:keepNext/>
      <w:keepLines/>
      <w:spacing w:before="0"/>
      <w:ind w:left="-851"/>
      <w:outlineLvl w:val="0"/>
    </w:pPr>
    <w:rPr>
      <w:rFonts w:ascii="Gotham" w:eastAsiaTheme="majorEastAsia" w:hAnsi="Gotham" w:cstheme="majorBidi"/>
      <w:b/>
      <w:color w:val="1F3864" w:themeColor="accent1" w:themeShade="80"/>
      <w:sz w:val="40"/>
      <w:szCs w:val="32"/>
    </w:rPr>
  </w:style>
  <w:style w:type="paragraph" w:styleId="Heading2">
    <w:name w:val="heading 2"/>
    <w:basedOn w:val="Normal"/>
    <w:next w:val="Normal"/>
    <w:link w:val="Heading2Char"/>
    <w:uiPriority w:val="9"/>
    <w:unhideWhenUsed/>
    <w:qFormat/>
    <w:rsid w:val="00453FFD"/>
    <w:pPr>
      <w:keepNext/>
      <w:keepLines/>
      <w:outlineLvl w:val="1"/>
    </w:pPr>
    <w:rPr>
      <w:rFonts w:ascii="Gotham" w:eastAsiaTheme="majorEastAsia" w:hAnsi="Gotham" w:cstheme="majorBidi"/>
      <w:sz w:val="24"/>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er"/>
    <w:next w:val="Normal"/>
    <w:link w:val="TitleChar"/>
    <w:rsid w:val="0030224A"/>
    <w:pPr>
      <w:tabs>
        <w:tab w:val="clear" w:pos="4680"/>
        <w:tab w:val="clear" w:pos="9360"/>
        <w:tab w:val="center" w:pos="4320"/>
        <w:tab w:val="right" w:pos="8640"/>
      </w:tabs>
      <w:spacing w:after="120"/>
    </w:pPr>
    <w:rPr>
      <w:rFonts w:eastAsia="Times New Roman" w:cs="Times New Roman"/>
      <w:b/>
      <w:color w:val="FFFFFF" w:themeColor="background1"/>
      <w:sz w:val="36"/>
      <w:szCs w:val="36"/>
    </w:rPr>
  </w:style>
  <w:style w:type="character" w:customStyle="1" w:styleId="TitleChar">
    <w:name w:val="Title Char"/>
    <w:basedOn w:val="DefaultParagraphFont"/>
    <w:link w:val="Title"/>
    <w:rsid w:val="0030224A"/>
    <w:rPr>
      <w:rFonts w:ascii="Arial" w:eastAsia="Times New Roman" w:hAnsi="Arial" w:cs="Times New Roman"/>
      <w:b/>
      <w:color w:val="FFFFFF" w:themeColor="background1"/>
      <w:sz w:val="36"/>
      <w:szCs w:val="36"/>
    </w:rPr>
  </w:style>
  <w:style w:type="paragraph" w:styleId="Header">
    <w:name w:val="header"/>
    <w:basedOn w:val="Normal"/>
    <w:link w:val="HeaderChar"/>
    <w:uiPriority w:val="99"/>
    <w:unhideWhenUsed/>
    <w:rsid w:val="0030224A"/>
    <w:pPr>
      <w:tabs>
        <w:tab w:val="center" w:pos="4680"/>
        <w:tab w:val="right" w:pos="9360"/>
      </w:tabs>
    </w:pPr>
  </w:style>
  <w:style w:type="character" w:customStyle="1" w:styleId="HeaderChar">
    <w:name w:val="Header Char"/>
    <w:basedOn w:val="DefaultParagraphFont"/>
    <w:link w:val="Header"/>
    <w:uiPriority w:val="99"/>
    <w:rsid w:val="0030224A"/>
  </w:style>
  <w:style w:type="table" w:customStyle="1" w:styleId="Calendar">
    <w:name w:val="Calendar"/>
    <w:basedOn w:val="TableNormal"/>
    <w:uiPriority w:val="99"/>
    <w:rsid w:val="0030224A"/>
    <w:rPr>
      <w:sz w:val="22"/>
      <w:szCs w:val="22"/>
      <w:lang w:val="en-AU"/>
    </w:rPr>
    <w:tblPr/>
  </w:style>
  <w:style w:type="table" w:customStyle="1" w:styleId="EventsHeader">
    <w:name w:val="Events Header"/>
    <w:basedOn w:val="TableNormal"/>
    <w:uiPriority w:val="99"/>
    <w:rsid w:val="0030224A"/>
    <w:rPr>
      <w:sz w:val="22"/>
      <w:szCs w:val="22"/>
      <w:lang w:val="en-AU"/>
    </w:rPr>
    <w:tblPr/>
    <w:tblStylePr w:type="firstRow">
      <w:rPr>
        <w:rFonts w:ascii="Arial" w:hAnsi="Arial"/>
      </w:rPr>
    </w:tblStylePr>
  </w:style>
  <w:style w:type="table" w:styleId="TableGrid">
    <w:name w:val="Table Grid"/>
    <w:basedOn w:val="TableNormal"/>
    <w:uiPriority w:val="39"/>
    <w:rsid w:val="00334DDC"/>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tandard lewis,Recommendation,List Paragraph1,List Paragraph11,Brief List Paragraph 1,DDM Gen Text,Body Numbering,Use Case List Paragraph,List 1),Bullet List Paragraph,Bullet Lists,Bullet Lists1,Bullet Lists2,Bullet Lists3,Bullet Lists4,L"/>
    <w:basedOn w:val="Normal"/>
    <w:link w:val="ListParagraphChar"/>
    <w:uiPriority w:val="34"/>
    <w:qFormat/>
    <w:rsid w:val="00334DDC"/>
    <w:pPr>
      <w:spacing w:after="200" w:line="276" w:lineRule="auto"/>
      <w:ind w:left="720"/>
      <w:contextualSpacing/>
    </w:pPr>
    <w:rPr>
      <w:rFonts w:eastAsiaTheme="minorHAnsi"/>
      <w:lang w:val="en-AU"/>
    </w:rPr>
  </w:style>
  <w:style w:type="character" w:customStyle="1" w:styleId="ListParagraphChar">
    <w:name w:val="List Paragraph Char"/>
    <w:aliases w:val="standard lewis Char,Recommendation Char,List Paragraph1 Char,List Paragraph11 Char,Brief List Paragraph 1 Char,DDM Gen Text Char,Body Numbering Char,Use Case List Paragraph Char,List 1) Char,Bullet List Paragraph Char,L Char"/>
    <w:link w:val="ListParagraph"/>
    <w:uiPriority w:val="34"/>
    <w:qFormat/>
    <w:locked/>
    <w:rsid w:val="00334DDC"/>
    <w:rPr>
      <w:lang w:val="en-AU"/>
    </w:rPr>
  </w:style>
  <w:style w:type="paragraph" w:styleId="BalloonText">
    <w:name w:val="Balloon Text"/>
    <w:basedOn w:val="Normal"/>
    <w:link w:val="BalloonTextChar"/>
    <w:uiPriority w:val="99"/>
    <w:semiHidden/>
    <w:unhideWhenUsed/>
    <w:rsid w:val="006924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92425"/>
    <w:rPr>
      <w:rFonts w:ascii="Times New Roman" w:eastAsiaTheme="minorEastAsia" w:hAnsi="Times New Roman" w:cs="Times New Roman"/>
      <w:sz w:val="18"/>
      <w:szCs w:val="18"/>
    </w:rPr>
  </w:style>
  <w:style w:type="paragraph" w:customStyle="1" w:styleId="Reference">
    <w:name w:val="Reference"/>
    <w:rsid w:val="003C3340"/>
    <w:pPr>
      <w:spacing w:after="240"/>
    </w:pPr>
    <w:rPr>
      <w:rFonts w:ascii="Gotham Book Italic" w:eastAsiaTheme="minorEastAsia" w:hAnsi="Gotham Book Italic" w:cs="Arial"/>
      <w:i/>
      <w:sz w:val="16"/>
      <w:szCs w:val="16"/>
      <w:lang w:val="en-AU"/>
    </w:rPr>
  </w:style>
  <w:style w:type="paragraph" w:customStyle="1" w:styleId="Bulletpoint1">
    <w:name w:val="Bullet point 1"/>
    <w:autoRedefine/>
    <w:rsid w:val="00D33805"/>
    <w:pPr>
      <w:spacing w:after="60"/>
    </w:pPr>
    <w:rPr>
      <w:rFonts w:ascii="Gotham Book" w:hAnsi="Gotham Book" w:cs="Arial"/>
      <w:i/>
      <w:color w:val="000000"/>
      <w:sz w:val="20"/>
      <w:szCs w:val="20"/>
      <w:lang w:val="en-AU"/>
    </w:rPr>
  </w:style>
  <w:style w:type="paragraph" w:customStyle="1" w:styleId="CopySubheading">
    <w:name w:val="Copy Subheading"/>
    <w:basedOn w:val="Normal"/>
    <w:uiPriority w:val="99"/>
    <w:rsid w:val="00940254"/>
    <w:pPr>
      <w:suppressAutoHyphens/>
      <w:autoSpaceDE w:val="0"/>
      <w:autoSpaceDN w:val="0"/>
      <w:adjustRightInd w:val="0"/>
      <w:spacing w:after="113" w:line="288" w:lineRule="auto"/>
      <w:textAlignment w:val="center"/>
    </w:pPr>
    <w:rPr>
      <w:rFonts w:ascii="Gotham Book" w:eastAsiaTheme="minorHAnsi" w:hAnsi="Gotham Book" w:cs="Gotham Book"/>
      <w:color w:val="E2173D"/>
      <w:sz w:val="28"/>
      <w:szCs w:val="28"/>
      <w:lang w:val="en-US"/>
    </w:rPr>
  </w:style>
  <w:style w:type="paragraph" w:customStyle="1" w:styleId="H1">
    <w:name w:val="H1"/>
    <w:rsid w:val="00CD6EC3"/>
    <w:pPr>
      <w:ind w:left="-851"/>
    </w:pPr>
    <w:rPr>
      <w:rFonts w:ascii="Gotham Book" w:hAnsi="Gotham Book" w:cs="Gotham Book"/>
      <w:color w:val="E2173D"/>
      <w:sz w:val="32"/>
      <w:szCs w:val="32"/>
      <w:lang w:val="en-US"/>
    </w:rPr>
  </w:style>
  <w:style w:type="paragraph" w:customStyle="1" w:styleId="H2">
    <w:name w:val="H2"/>
    <w:rsid w:val="00581CC8"/>
    <w:pPr>
      <w:framePr w:hSpace="181" w:wrap="around" w:vAnchor="text" w:hAnchor="margin" w:xAlign="center" w:y="695"/>
      <w:spacing w:before="120" w:after="120"/>
      <w:suppressOverlap/>
      <w:jc w:val="center"/>
    </w:pPr>
    <w:rPr>
      <w:rFonts w:ascii="Gotham Book" w:eastAsiaTheme="minorEastAsia" w:hAnsi="Gotham Book" w:cs="Arial"/>
      <w:b/>
      <w:bCs/>
      <w:caps/>
      <w:noProof/>
      <w:sz w:val="22"/>
      <w:szCs w:val="22"/>
      <w:lang w:val="en-AU"/>
    </w:rPr>
  </w:style>
  <w:style w:type="paragraph" w:customStyle="1" w:styleId="H3">
    <w:name w:val="H3"/>
    <w:rsid w:val="003C3340"/>
    <w:pPr>
      <w:framePr w:hSpace="181" w:wrap="around" w:vAnchor="text" w:hAnchor="margin" w:xAlign="center" w:y="695"/>
      <w:spacing w:before="120" w:after="60"/>
      <w:suppressOverlap/>
    </w:pPr>
    <w:rPr>
      <w:rFonts w:ascii="Gotham Bold" w:eastAsiaTheme="minorEastAsia" w:hAnsi="Gotham Bold" w:cs="Arial"/>
      <w:b/>
      <w:bCs/>
      <w:sz w:val="20"/>
      <w:szCs w:val="20"/>
      <w:lang w:val="en-AU"/>
    </w:rPr>
  </w:style>
  <w:style w:type="paragraph" w:customStyle="1" w:styleId="Copy">
    <w:name w:val="Copy"/>
    <w:qFormat/>
    <w:rsid w:val="003C3340"/>
    <w:pPr>
      <w:framePr w:hSpace="181" w:wrap="around" w:vAnchor="text" w:hAnchor="margin" w:xAlign="center" w:y="695"/>
      <w:spacing w:after="60"/>
      <w:suppressOverlap/>
    </w:pPr>
    <w:rPr>
      <w:rFonts w:ascii="Gotham Book" w:eastAsiaTheme="minorEastAsia" w:hAnsi="Gotham Book" w:cs="Arial"/>
      <w:sz w:val="20"/>
      <w:szCs w:val="20"/>
      <w:lang w:val="en-AU"/>
    </w:rPr>
  </w:style>
  <w:style w:type="character" w:customStyle="1" w:styleId="Heading2Char">
    <w:name w:val="Heading 2 Char"/>
    <w:basedOn w:val="DefaultParagraphFont"/>
    <w:link w:val="Heading2"/>
    <w:uiPriority w:val="9"/>
    <w:rsid w:val="00453FFD"/>
    <w:rPr>
      <w:rFonts w:ascii="Gotham" w:eastAsiaTheme="majorEastAsia" w:hAnsi="Gotham" w:cstheme="majorBidi"/>
      <w:szCs w:val="26"/>
      <w:lang w:val="en-AU"/>
    </w:rPr>
  </w:style>
  <w:style w:type="character" w:styleId="CommentReference">
    <w:name w:val="annotation reference"/>
    <w:basedOn w:val="DefaultParagraphFont"/>
    <w:uiPriority w:val="99"/>
    <w:semiHidden/>
    <w:unhideWhenUsed/>
    <w:rsid w:val="001608F3"/>
    <w:rPr>
      <w:sz w:val="16"/>
      <w:szCs w:val="16"/>
    </w:rPr>
  </w:style>
  <w:style w:type="paragraph" w:styleId="CommentText">
    <w:name w:val="annotation text"/>
    <w:basedOn w:val="Normal"/>
    <w:link w:val="CommentTextChar"/>
    <w:uiPriority w:val="99"/>
    <w:unhideWhenUsed/>
    <w:rsid w:val="001608F3"/>
    <w:rPr>
      <w:rFonts w:eastAsia="Times New Roman" w:cs="Times New Roman"/>
      <w:sz w:val="20"/>
      <w:szCs w:val="20"/>
      <w:lang w:val="en-AU"/>
    </w:rPr>
  </w:style>
  <w:style w:type="character" w:customStyle="1" w:styleId="CommentTextChar">
    <w:name w:val="Comment Text Char"/>
    <w:basedOn w:val="DefaultParagraphFont"/>
    <w:link w:val="CommentText"/>
    <w:uiPriority w:val="99"/>
    <w:rsid w:val="001608F3"/>
    <w:rPr>
      <w:rFonts w:ascii="Arial" w:eastAsia="Times New Roman" w:hAnsi="Arial" w:cs="Times New Roman"/>
      <w:sz w:val="20"/>
      <w:szCs w:val="20"/>
      <w:lang w:val="en-AU"/>
    </w:rPr>
  </w:style>
  <w:style w:type="character" w:styleId="Hyperlink">
    <w:name w:val="Hyperlink"/>
    <w:basedOn w:val="DefaultParagraphFont"/>
    <w:uiPriority w:val="99"/>
    <w:unhideWhenUsed/>
    <w:rsid w:val="001608F3"/>
    <w:rPr>
      <w:color w:val="0563C1" w:themeColor="hyperlink"/>
      <w:u w:val="single"/>
    </w:rPr>
  </w:style>
  <w:style w:type="paragraph" w:customStyle="1" w:styleId="Fullreferences">
    <w:name w:val="Full references"/>
    <w:rsid w:val="00416BDB"/>
    <w:pPr>
      <w:spacing w:before="120"/>
      <w:ind w:left="-851"/>
    </w:pPr>
    <w:rPr>
      <w:rFonts w:ascii="Gotham Book" w:eastAsiaTheme="minorEastAsia" w:hAnsi="Gotham Book"/>
      <w:sz w:val="18"/>
      <w:szCs w:val="18"/>
    </w:rPr>
  </w:style>
  <w:style w:type="paragraph" w:customStyle="1" w:styleId="H4">
    <w:name w:val="H4"/>
    <w:rsid w:val="00581CC8"/>
    <w:pPr>
      <w:framePr w:wrap="auto" w:hAnchor="text" w:y="1340"/>
      <w:jc w:val="center"/>
    </w:pPr>
    <w:rPr>
      <w:rFonts w:ascii="Gotham Bold" w:eastAsiaTheme="minorEastAsia" w:hAnsi="Gotham Bold" w:cs="Arial"/>
      <w:b/>
      <w:bCs/>
      <w:noProof/>
      <w:sz w:val="22"/>
      <w:szCs w:val="22"/>
      <w:lang w:val="en-AU"/>
    </w:rPr>
  </w:style>
  <w:style w:type="paragraph" w:styleId="Footer">
    <w:name w:val="footer"/>
    <w:basedOn w:val="Normal"/>
    <w:link w:val="FooterChar"/>
    <w:uiPriority w:val="99"/>
    <w:unhideWhenUsed/>
    <w:rsid w:val="00ED7271"/>
    <w:pPr>
      <w:tabs>
        <w:tab w:val="center" w:pos="4680"/>
        <w:tab w:val="right" w:pos="9360"/>
      </w:tabs>
    </w:pPr>
  </w:style>
  <w:style w:type="character" w:customStyle="1" w:styleId="FooterChar">
    <w:name w:val="Footer Char"/>
    <w:basedOn w:val="DefaultParagraphFont"/>
    <w:link w:val="Footer"/>
    <w:uiPriority w:val="99"/>
    <w:rsid w:val="00ED7271"/>
    <w:rPr>
      <w:rFonts w:eastAsiaTheme="minorEastAsia"/>
    </w:rPr>
  </w:style>
  <w:style w:type="paragraph" w:styleId="CommentSubject">
    <w:name w:val="annotation subject"/>
    <w:basedOn w:val="CommentText"/>
    <w:next w:val="CommentText"/>
    <w:link w:val="CommentSubjectChar"/>
    <w:uiPriority w:val="99"/>
    <w:semiHidden/>
    <w:unhideWhenUsed/>
    <w:rsid w:val="0030037F"/>
    <w:rPr>
      <w:rFonts w:asciiTheme="minorHAnsi" w:eastAsiaTheme="minorEastAsia" w:hAnsiTheme="minorHAnsi" w:cstheme="minorBidi"/>
      <w:b/>
      <w:bCs/>
      <w:lang w:val="en-GB"/>
    </w:rPr>
  </w:style>
  <w:style w:type="character" w:customStyle="1" w:styleId="CommentSubjectChar">
    <w:name w:val="Comment Subject Char"/>
    <w:basedOn w:val="CommentTextChar"/>
    <w:link w:val="CommentSubject"/>
    <w:uiPriority w:val="99"/>
    <w:semiHidden/>
    <w:rsid w:val="0030037F"/>
    <w:rPr>
      <w:rFonts w:ascii="Arial" w:eastAsiaTheme="minorEastAsia" w:hAnsi="Arial" w:cs="Times New Roman"/>
      <w:b/>
      <w:bCs/>
      <w:sz w:val="20"/>
      <w:szCs w:val="20"/>
      <w:lang w:val="en-AU"/>
    </w:rPr>
  </w:style>
  <w:style w:type="character" w:styleId="FollowedHyperlink">
    <w:name w:val="FollowedHyperlink"/>
    <w:basedOn w:val="DefaultParagraphFont"/>
    <w:uiPriority w:val="99"/>
    <w:semiHidden/>
    <w:unhideWhenUsed/>
    <w:rsid w:val="00FE2CA8"/>
    <w:rPr>
      <w:color w:val="954F72" w:themeColor="followedHyperlink"/>
      <w:u w:val="single"/>
    </w:rPr>
  </w:style>
  <w:style w:type="paragraph" w:styleId="FootnoteText">
    <w:name w:val="footnote text"/>
    <w:basedOn w:val="Normal"/>
    <w:link w:val="FootnoteTextChar"/>
    <w:uiPriority w:val="99"/>
    <w:semiHidden/>
    <w:unhideWhenUsed/>
    <w:rsid w:val="009D08F6"/>
    <w:rPr>
      <w:sz w:val="20"/>
      <w:szCs w:val="20"/>
    </w:rPr>
  </w:style>
  <w:style w:type="character" w:customStyle="1" w:styleId="FootnoteTextChar">
    <w:name w:val="Footnote Text Char"/>
    <w:basedOn w:val="DefaultParagraphFont"/>
    <w:link w:val="FootnoteText"/>
    <w:uiPriority w:val="99"/>
    <w:semiHidden/>
    <w:rsid w:val="009D08F6"/>
    <w:rPr>
      <w:rFonts w:eastAsiaTheme="minorEastAsia"/>
      <w:sz w:val="20"/>
      <w:szCs w:val="20"/>
    </w:rPr>
  </w:style>
  <w:style w:type="character" w:styleId="FootnoteReference">
    <w:name w:val="footnote reference"/>
    <w:basedOn w:val="DefaultParagraphFont"/>
    <w:uiPriority w:val="99"/>
    <w:semiHidden/>
    <w:unhideWhenUsed/>
    <w:rsid w:val="009D08F6"/>
    <w:rPr>
      <w:vertAlign w:val="superscript"/>
    </w:rPr>
  </w:style>
  <w:style w:type="paragraph" w:customStyle="1" w:styleId="Heading-Activitiesandservices">
    <w:name w:val="Heading - Activities and services"/>
    <w:autoRedefine/>
    <w:qFormat/>
    <w:rsid w:val="0038389F"/>
    <w:pPr>
      <w:spacing w:after="120"/>
    </w:pPr>
    <w:rPr>
      <w:rFonts w:ascii="Arial" w:eastAsiaTheme="minorEastAsia" w:hAnsi="Arial" w:cs="Arial"/>
      <w:sz w:val="20"/>
      <w:szCs w:val="20"/>
      <w:lang w:val="en-AU"/>
    </w:rPr>
  </w:style>
  <w:style w:type="paragraph" w:customStyle="1" w:styleId="Bullet1">
    <w:name w:val="Bullet 1"/>
    <w:link w:val="Bullet1Char"/>
    <w:autoRedefine/>
    <w:qFormat/>
    <w:rsid w:val="00FC2463"/>
    <w:pPr>
      <w:spacing w:after="120"/>
      <w:ind w:left="360"/>
    </w:pPr>
    <w:rPr>
      <w:rFonts w:ascii="Arial" w:eastAsiaTheme="minorEastAsia" w:hAnsi="Arial"/>
      <w:sz w:val="20"/>
      <w:szCs w:val="20"/>
      <w:lang w:val="en-AU"/>
    </w:rPr>
  </w:style>
  <w:style w:type="paragraph" w:customStyle="1" w:styleId="Bulletpoints">
    <w:name w:val="Bullet points"/>
    <w:basedOn w:val="Normal"/>
    <w:rsid w:val="00D33805"/>
    <w:pPr>
      <w:numPr>
        <w:numId w:val="1"/>
      </w:numPr>
    </w:pPr>
  </w:style>
  <w:style w:type="paragraph" w:customStyle="1" w:styleId="Normal-instructions">
    <w:name w:val="Normal - instructions"/>
    <w:basedOn w:val="Normal"/>
    <w:autoRedefine/>
    <w:qFormat/>
    <w:rsid w:val="00AB677E"/>
    <w:rPr>
      <w:bCs/>
      <w:color w:val="E7E6E6"/>
      <w:lang w:val="en-AU"/>
      <w14:textFill>
        <w14:solidFill>
          <w14:srgbClr w14:val="E7E6E6">
            <w14:lumMod w14:val="50000"/>
          </w14:srgbClr>
        </w14:solidFill>
      </w14:textFill>
    </w:rPr>
  </w:style>
  <w:style w:type="character" w:customStyle="1" w:styleId="Heading1Char">
    <w:name w:val="Heading 1 Char"/>
    <w:basedOn w:val="DefaultParagraphFont"/>
    <w:link w:val="Heading1"/>
    <w:uiPriority w:val="9"/>
    <w:rsid w:val="001E420F"/>
    <w:rPr>
      <w:rFonts w:ascii="Gotham" w:eastAsiaTheme="majorEastAsia" w:hAnsi="Gotham" w:cstheme="majorBidi"/>
      <w:b/>
      <w:color w:val="1F3864" w:themeColor="accent1" w:themeShade="80"/>
      <w:sz w:val="40"/>
      <w:szCs w:val="32"/>
    </w:rPr>
  </w:style>
  <w:style w:type="paragraph" w:customStyle="1" w:styleId="List1">
    <w:name w:val="List 1"/>
    <w:basedOn w:val="Normal-instructions"/>
    <w:autoRedefine/>
    <w:qFormat/>
    <w:rsid w:val="00097315"/>
    <w:pPr>
      <w:numPr>
        <w:numId w:val="2"/>
      </w:numPr>
      <w:contextualSpacing/>
    </w:pPr>
  </w:style>
  <w:style w:type="character" w:styleId="Strong">
    <w:name w:val="Strong"/>
    <w:basedOn w:val="DefaultParagraphFont"/>
    <w:uiPriority w:val="22"/>
    <w:qFormat/>
    <w:rsid w:val="00FD4F88"/>
    <w:rPr>
      <w:b/>
      <w:bCs/>
    </w:rPr>
  </w:style>
  <w:style w:type="character" w:styleId="PlaceholderText">
    <w:name w:val="Placeholder Text"/>
    <w:basedOn w:val="DefaultParagraphFont"/>
    <w:uiPriority w:val="99"/>
    <w:semiHidden/>
    <w:rsid w:val="0060672E"/>
    <w:rPr>
      <w:color w:val="808080"/>
    </w:rPr>
  </w:style>
  <w:style w:type="character" w:customStyle="1" w:styleId="Bullet1Char">
    <w:name w:val="Bullet 1 Char"/>
    <w:basedOn w:val="DefaultParagraphFont"/>
    <w:link w:val="Bullet1"/>
    <w:locked/>
    <w:rsid w:val="00FC2463"/>
    <w:rPr>
      <w:rFonts w:ascii="Arial" w:eastAsiaTheme="minorEastAsia" w:hAnsi="Arial"/>
      <w:sz w:val="20"/>
      <w:szCs w:val="20"/>
      <w:lang w:val="en-AU"/>
    </w:rPr>
  </w:style>
  <w:style w:type="paragraph" w:styleId="EndnoteText">
    <w:name w:val="endnote text"/>
    <w:basedOn w:val="Normal"/>
    <w:link w:val="EndnoteTextChar"/>
    <w:uiPriority w:val="99"/>
    <w:semiHidden/>
    <w:unhideWhenUsed/>
    <w:rsid w:val="00793266"/>
    <w:pPr>
      <w:spacing w:before="0" w:after="0"/>
    </w:pPr>
    <w:rPr>
      <w:rFonts w:eastAsiaTheme="minorHAnsi"/>
      <w:sz w:val="20"/>
      <w:szCs w:val="20"/>
    </w:rPr>
  </w:style>
  <w:style w:type="character" w:customStyle="1" w:styleId="EndnoteTextChar">
    <w:name w:val="Endnote Text Char"/>
    <w:basedOn w:val="DefaultParagraphFont"/>
    <w:link w:val="EndnoteText"/>
    <w:uiPriority w:val="99"/>
    <w:semiHidden/>
    <w:rsid w:val="00793266"/>
    <w:rPr>
      <w:rFonts w:ascii="Arial" w:hAnsi="Arial"/>
      <w:sz w:val="20"/>
      <w:szCs w:val="20"/>
    </w:rPr>
  </w:style>
  <w:style w:type="character" w:styleId="EndnoteReference">
    <w:name w:val="endnote reference"/>
    <w:basedOn w:val="DefaultParagraphFont"/>
    <w:uiPriority w:val="99"/>
    <w:semiHidden/>
    <w:unhideWhenUsed/>
    <w:rsid w:val="00793266"/>
    <w:rPr>
      <w:vertAlign w:val="superscript"/>
    </w:rPr>
  </w:style>
  <w:style w:type="paragraph" w:styleId="TOCHeading">
    <w:name w:val="TOC Heading"/>
    <w:basedOn w:val="Heading1"/>
    <w:next w:val="Normal"/>
    <w:uiPriority w:val="39"/>
    <w:semiHidden/>
    <w:unhideWhenUsed/>
    <w:qFormat/>
    <w:rsid w:val="00A637AB"/>
    <w:pPr>
      <w:spacing w:before="240" w:after="0"/>
      <w:outlineLvl w:val="9"/>
    </w:pPr>
    <w:rPr>
      <w:rFonts w:asciiTheme="majorHAnsi" w:hAnsiTheme="majorHAnsi"/>
      <w:b w:val="0"/>
      <w:color w:val="2F5496" w:themeColor="accent1" w:themeShade="BF"/>
      <w:sz w:val="32"/>
    </w:rPr>
  </w:style>
  <w:style w:type="character" w:customStyle="1" w:styleId="normaltextrun">
    <w:name w:val="normaltextrun"/>
    <w:basedOn w:val="DefaultParagraphFont"/>
    <w:rsid w:val="003708F2"/>
    <w:rPr>
      <w:rFonts w:ascii="Calibri" w:hAnsi="Calibri"/>
      <w:b w:val="0"/>
      <w:i w:val="0"/>
      <w:color w:val="262626" w:themeColor="text1" w:themeTint="D9"/>
      <w:spacing w:val="0"/>
      <w:sz w:val="22"/>
    </w:rPr>
  </w:style>
  <w:style w:type="paragraph" w:styleId="Revision">
    <w:name w:val="Revision"/>
    <w:hidden/>
    <w:uiPriority w:val="99"/>
    <w:semiHidden/>
    <w:rsid w:val="0067134A"/>
    <w:rPr>
      <w:rFonts w:ascii="Arial" w:eastAsiaTheme="minorEastAsia" w:hAnsi="Arial"/>
      <w:sz w:val="22"/>
    </w:rPr>
  </w:style>
  <w:style w:type="character" w:styleId="UnresolvedMention">
    <w:name w:val="Unresolved Mention"/>
    <w:basedOn w:val="DefaultParagraphFont"/>
    <w:uiPriority w:val="99"/>
    <w:semiHidden/>
    <w:unhideWhenUsed/>
    <w:rsid w:val="00F51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91827">
      <w:bodyDiv w:val="1"/>
      <w:marLeft w:val="0"/>
      <w:marRight w:val="0"/>
      <w:marTop w:val="0"/>
      <w:marBottom w:val="0"/>
      <w:divBdr>
        <w:top w:val="none" w:sz="0" w:space="0" w:color="auto"/>
        <w:left w:val="none" w:sz="0" w:space="0" w:color="auto"/>
        <w:bottom w:val="none" w:sz="0" w:space="0" w:color="auto"/>
        <w:right w:val="none" w:sz="0" w:space="0" w:color="auto"/>
      </w:divBdr>
    </w:div>
    <w:div w:id="455954623">
      <w:bodyDiv w:val="1"/>
      <w:marLeft w:val="0"/>
      <w:marRight w:val="0"/>
      <w:marTop w:val="0"/>
      <w:marBottom w:val="0"/>
      <w:divBdr>
        <w:top w:val="none" w:sz="0" w:space="0" w:color="auto"/>
        <w:left w:val="none" w:sz="0" w:space="0" w:color="auto"/>
        <w:bottom w:val="none" w:sz="0" w:space="0" w:color="auto"/>
        <w:right w:val="none" w:sz="0" w:space="0" w:color="auto"/>
      </w:divBdr>
    </w:div>
    <w:div w:id="528373046">
      <w:bodyDiv w:val="1"/>
      <w:marLeft w:val="0"/>
      <w:marRight w:val="0"/>
      <w:marTop w:val="0"/>
      <w:marBottom w:val="0"/>
      <w:divBdr>
        <w:top w:val="none" w:sz="0" w:space="0" w:color="auto"/>
        <w:left w:val="none" w:sz="0" w:space="0" w:color="auto"/>
        <w:bottom w:val="none" w:sz="0" w:space="0" w:color="auto"/>
        <w:right w:val="none" w:sz="0" w:space="0" w:color="auto"/>
      </w:divBdr>
    </w:div>
    <w:div w:id="569385065">
      <w:bodyDiv w:val="1"/>
      <w:marLeft w:val="0"/>
      <w:marRight w:val="0"/>
      <w:marTop w:val="0"/>
      <w:marBottom w:val="0"/>
      <w:divBdr>
        <w:top w:val="none" w:sz="0" w:space="0" w:color="auto"/>
        <w:left w:val="none" w:sz="0" w:space="0" w:color="auto"/>
        <w:bottom w:val="none" w:sz="0" w:space="0" w:color="auto"/>
        <w:right w:val="none" w:sz="0" w:space="0" w:color="auto"/>
      </w:divBdr>
    </w:div>
    <w:div w:id="854266476">
      <w:bodyDiv w:val="1"/>
      <w:marLeft w:val="0"/>
      <w:marRight w:val="0"/>
      <w:marTop w:val="0"/>
      <w:marBottom w:val="0"/>
      <w:divBdr>
        <w:top w:val="none" w:sz="0" w:space="0" w:color="auto"/>
        <w:left w:val="none" w:sz="0" w:space="0" w:color="auto"/>
        <w:bottom w:val="none" w:sz="0" w:space="0" w:color="auto"/>
        <w:right w:val="none" w:sz="0" w:space="0" w:color="auto"/>
      </w:divBdr>
    </w:div>
    <w:div w:id="865680364">
      <w:bodyDiv w:val="1"/>
      <w:marLeft w:val="0"/>
      <w:marRight w:val="0"/>
      <w:marTop w:val="0"/>
      <w:marBottom w:val="0"/>
      <w:divBdr>
        <w:top w:val="none" w:sz="0" w:space="0" w:color="auto"/>
        <w:left w:val="none" w:sz="0" w:space="0" w:color="auto"/>
        <w:bottom w:val="none" w:sz="0" w:space="0" w:color="auto"/>
        <w:right w:val="none" w:sz="0" w:space="0" w:color="auto"/>
      </w:divBdr>
    </w:div>
    <w:div w:id="108102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videnceportal.dcj.nsw.gov.au/evidence-portal-home/our-evidence-reviews/youth-socioemotional-wellbeing--evidence-review/youth-socioemotional-wellbeing--core-components.html" TargetMode="External"/><Relationship Id="rId18" Type="http://schemas.openxmlformats.org/officeDocument/2006/relationships/hyperlink" Target="https://evidenceportal.dcj.nsw.gov.au/evidence-portal-home/our-evidence-reviews/youth-work-agency-and-empowerment-evidence-review.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videnceportal.dcj.nsw.gov.au/evidence-portal-home/our-evidence-reviews/youth-work-agency-and-empowerment-evidence-review.html" TargetMode="External"/><Relationship Id="rId17" Type="http://schemas.openxmlformats.org/officeDocument/2006/relationships/hyperlink" Target="https://evidenceportal.dcj.nsw.gov.au/evidence-portal-home/our-evidence-reviews/preventing-child-maltreatment/core-components/building-supportive-relationships-and-social-networks.html" TargetMode="Externa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videnceportal.dcj.nsw.gov.au/evidence-portal-home/our-evidence-reviews/youth-socioemotional-wellbeing--evidence-review.html" TargetMode="Externa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evidenceportal.dcj.nsw.gov.au/evidence-portal-home/our-evidence-reviews/preventing-child-maltreatment/core-components/engagement.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videnceportal.dcj.nsw.gov.au/evidence-portal-home/our-evidence-reviews/youth-socioemotional-wellbeing--evidence-review/youth-socioemotional-wellbeing--core-components.htm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nrows.org.au/publication/adolescent-family-violence-in-australia-a-national-study-of-prevalence-history-of-childhood-victimisation-and-impacts/" TargetMode="External"/><Relationship Id="rId1" Type="http://schemas.openxmlformats.org/officeDocument/2006/relationships/hyperlink" Target="https://www.aracy.org.au/publications-resources/command/download_file/id/274/filename/Better-systems-better-chanc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F0C96AF3-03FE-408D-BE90-41B82085B321}">
    <t:Anchor>
      <t:Comment id="1267338923"/>
    </t:Anchor>
    <t:History>
      <t:Event id="{866DA116-6E22-4487-BF30-BD7FD93E831B}" time="2024-04-01T02:09:32.708Z">
        <t:Attribution userId="S::claire.edmonds@dcj.nsw.gov.au::56a01c4f-0e34-40ee-baa7-d9e1d5965e01" userProvider="AD" userName="Claire Edmonds"/>
        <t:Anchor>
          <t:Comment id="1267338923"/>
        </t:Anchor>
        <t:Create/>
      </t:Event>
      <t:Event id="{5356C017-0858-4A4E-AE57-65C005D62F91}" time="2024-04-01T02:09:32.708Z">
        <t:Attribution userId="S::claire.edmonds@dcj.nsw.gov.au::56a01c4f-0e34-40ee-baa7-d9e1d5965e01" userProvider="AD" userName="Claire Edmonds"/>
        <t:Anchor>
          <t:Comment id="1267338923"/>
        </t:Anchor>
        <t:Assign userId="S::corinne.beasley@dcj.nsw.gov.au::4882cb1a-b699-4eb5-b107-a66b263dcb60" userProvider="AD" userName="Corinne Beasley"/>
      </t:Event>
      <t:Event id="{34B6EB5A-1C86-4C90-B7AC-76BBD821D10C}" time="2024-04-01T02:09:32.708Z">
        <t:Attribution userId="S::claire.edmonds@dcj.nsw.gov.au::56a01c4f-0e34-40ee-baa7-d9e1d5965e01" userProvider="AD" userName="Claire Edmonds"/>
        <t:Anchor>
          <t:Comment id="1267338923"/>
        </t:Anchor>
        <t:SetTitle title="@Corinne Beasley should this be in the evidence colum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531F52B4EC15489FA927AE13701725" ma:contentTypeVersion="6" ma:contentTypeDescription="Create a new document." ma:contentTypeScope="" ma:versionID="86c1a9a9bfd5d9c9b147b79cb71b9ba6">
  <xsd:schema xmlns:xsd="http://www.w3.org/2001/XMLSchema" xmlns:xs="http://www.w3.org/2001/XMLSchema" xmlns:p="http://schemas.microsoft.com/office/2006/metadata/properties" xmlns:ns2="cb68056c-4855-4627-928f-a2e7262bbe34" xmlns:ns3="e76a2994-1241-4a32-9049-65321c14f93d" targetNamespace="http://schemas.microsoft.com/office/2006/metadata/properties" ma:root="true" ma:fieldsID="bb75cb5f43d12c23225e1e595c1bd405" ns2:_="" ns3:_="">
    <xsd:import namespace="cb68056c-4855-4627-928f-a2e7262bbe34"/>
    <xsd:import namespace="e76a2994-1241-4a32-9049-65321c14f9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8056c-4855-4627-928f-a2e7262bb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6a2994-1241-4a32-9049-65321c14f93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2B6483-E9A3-4232-9A0E-0B7A196E5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8056c-4855-4627-928f-a2e7262bbe34"/>
    <ds:schemaRef ds:uri="e76a2994-1241-4a32-9049-65321c14f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56F27F-9352-4176-B484-44F4248CF758}">
  <ds:schemaRef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e76a2994-1241-4a32-9049-65321c14f93d"/>
    <ds:schemaRef ds:uri="http://purl.org/dc/terms/"/>
    <ds:schemaRef ds:uri="cb68056c-4855-4627-928f-a2e7262bbe34"/>
    <ds:schemaRef ds:uri="http://www.w3.org/XML/1998/namespace"/>
  </ds:schemaRefs>
</ds:datastoreItem>
</file>

<file path=customXml/itemProps3.xml><?xml version="1.0" encoding="utf-8"?>
<ds:datastoreItem xmlns:ds="http://schemas.openxmlformats.org/officeDocument/2006/customXml" ds:itemID="{511750F5-D75E-4CAB-9C08-B59CC44E01F3}">
  <ds:schemaRefs>
    <ds:schemaRef ds:uri="http://schemas.openxmlformats.org/officeDocument/2006/bibliography"/>
  </ds:schemaRefs>
</ds:datastoreItem>
</file>

<file path=customXml/itemProps4.xml><?xml version="1.0" encoding="utf-8"?>
<ds:datastoreItem xmlns:ds="http://schemas.openxmlformats.org/officeDocument/2006/customXml" ds:itemID="{420D91B1-3C3B-4F35-87AD-9783D5FA46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1890</Words>
  <Characters>10775</Characters>
  <Application>Microsoft Office Word</Application>
  <DocSecurity>0</DocSecurity>
  <Lines>89</Lines>
  <Paragraphs>25</Paragraphs>
  <ScaleCrop>false</ScaleCrop>
  <Company/>
  <LinksUpToDate>false</LinksUpToDate>
  <CharactersWithSpaces>12640</CharactersWithSpaces>
  <SharedDoc>false</SharedDoc>
  <HLinks>
    <vt:vector size="54" baseType="variant">
      <vt:variant>
        <vt:i4>3670123</vt:i4>
      </vt:variant>
      <vt:variant>
        <vt:i4>18</vt:i4>
      </vt:variant>
      <vt:variant>
        <vt:i4>0</vt:i4>
      </vt:variant>
      <vt:variant>
        <vt:i4>5</vt:i4>
      </vt:variant>
      <vt:variant>
        <vt:lpwstr>https://evidenceportal.dcj.nsw.gov.au/evidence-portal-home/our-evidence-reviews/youth-work-agency-and-empowerment-evidence-review.html</vt:lpwstr>
      </vt:variant>
      <vt:variant>
        <vt:lpwstr/>
      </vt:variant>
      <vt:variant>
        <vt:i4>393301</vt:i4>
      </vt:variant>
      <vt:variant>
        <vt:i4>15</vt:i4>
      </vt:variant>
      <vt:variant>
        <vt:i4>0</vt:i4>
      </vt:variant>
      <vt:variant>
        <vt:i4>5</vt:i4>
      </vt:variant>
      <vt:variant>
        <vt:lpwstr>https://evidenceportal.dcj.nsw.gov.au/evidence-portal-home/our-evidence-reviews/preventing-child-maltreatment/core-components/building-supportive-relationships-and-social-networks.html</vt:lpwstr>
      </vt:variant>
      <vt:variant>
        <vt:lpwstr/>
      </vt:variant>
      <vt:variant>
        <vt:i4>1769501</vt:i4>
      </vt:variant>
      <vt:variant>
        <vt:i4>12</vt:i4>
      </vt:variant>
      <vt:variant>
        <vt:i4>0</vt:i4>
      </vt:variant>
      <vt:variant>
        <vt:i4>5</vt:i4>
      </vt:variant>
      <vt:variant>
        <vt:lpwstr>https://evidenceportal.dcj.nsw.gov.au/evidence-portal-home/our-evidence-reviews/preventing-child-maltreatment/core-components/engagement.html</vt:lpwstr>
      </vt:variant>
      <vt:variant>
        <vt:lpwstr/>
      </vt:variant>
      <vt:variant>
        <vt:i4>2031619</vt:i4>
      </vt:variant>
      <vt:variant>
        <vt:i4>9</vt:i4>
      </vt:variant>
      <vt:variant>
        <vt:i4>0</vt:i4>
      </vt:variant>
      <vt:variant>
        <vt:i4>5</vt:i4>
      </vt:variant>
      <vt:variant>
        <vt:lpwstr>https://evidenceportal.dcj.nsw.gov.au/evidence-portal-home/our-evidence-reviews/youth-socioemotional-wellbeing--evidence-review/youth-socioemotional-wellbeing--core-components.html</vt:lpwstr>
      </vt:variant>
      <vt:variant>
        <vt:lpwstr/>
      </vt:variant>
      <vt:variant>
        <vt:i4>2031619</vt:i4>
      </vt:variant>
      <vt:variant>
        <vt:i4>6</vt:i4>
      </vt:variant>
      <vt:variant>
        <vt:i4>0</vt:i4>
      </vt:variant>
      <vt:variant>
        <vt:i4>5</vt:i4>
      </vt:variant>
      <vt:variant>
        <vt:lpwstr>https://evidenceportal.dcj.nsw.gov.au/evidence-portal-home/our-evidence-reviews/youth-socioemotional-wellbeing--evidence-review/youth-socioemotional-wellbeing--core-components.html</vt:lpwstr>
      </vt:variant>
      <vt:variant>
        <vt:lpwstr/>
      </vt:variant>
      <vt:variant>
        <vt:i4>3670123</vt:i4>
      </vt:variant>
      <vt:variant>
        <vt:i4>3</vt:i4>
      </vt:variant>
      <vt:variant>
        <vt:i4>0</vt:i4>
      </vt:variant>
      <vt:variant>
        <vt:i4>5</vt:i4>
      </vt:variant>
      <vt:variant>
        <vt:lpwstr>https://evidenceportal.dcj.nsw.gov.au/evidence-portal-home/our-evidence-reviews/youth-work-agency-and-empowerment-evidence-review.html</vt:lpwstr>
      </vt:variant>
      <vt:variant>
        <vt:lpwstr/>
      </vt:variant>
      <vt:variant>
        <vt:i4>4259933</vt:i4>
      </vt:variant>
      <vt:variant>
        <vt:i4>0</vt:i4>
      </vt:variant>
      <vt:variant>
        <vt:i4>0</vt:i4>
      </vt:variant>
      <vt:variant>
        <vt:i4>5</vt:i4>
      </vt:variant>
      <vt:variant>
        <vt:lpwstr>https://evidenceportal.dcj.nsw.gov.au/evidence-portal-home/our-evidence-reviews/youth-socioemotional-wellbeing--evidence-review.html</vt:lpwstr>
      </vt:variant>
      <vt:variant>
        <vt:lpwstr/>
      </vt:variant>
      <vt:variant>
        <vt:i4>4522071</vt:i4>
      </vt:variant>
      <vt:variant>
        <vt:i4>3</vt:i4>
      </vt:variant>
      <vt:variant>
        <vt:i4>0</vt:i4>
      </vt:variant>
      <vt:variant>
        <vt:i4>5</vt:i4>
      </vt:variant>
      <vt:variant>
        <vt:lpwstr>https://www.anrows.org.au/publication/adolescent-family-violence-in-australia-a-national-study-of-prevalence-history-of-childhood-victimisation-and-impacts/</vt:lpwstr>
      </vt:variant>
      <vt:variant>
        <vt:lpwstr/>
      </vt:variant>
      <vt:variant>
        <vt:i4>7733259</vt:i4>
      </vt:variant>
      <vt:variant>
        <vt:i4>0</vt:i4>
      </vt:variant>
      <vt:variant>
        <vt:i4>0</vt:i4>
      </vt:variant>
      <vt:variant>
        <vt:i4>5</vt:i4>
      </vt:variant>
      <vt:variant>
        <vt:lpwstr>https://www.aracy.org.au/publications-resources/command/download_file/id/274/filename/Better-systems-better-chances.pdf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Iacovella</dc:creator>
  <cp:keywords/>
  <dc:description/>
  <cp:lastModifiedBy>Corinne Beasley</cp:lastModifiedBy>
  <cp:revision>2</cp:revision>
  <cp:lastPrinted>2019-08-30T11:20:00Z</cp:lastPrinted>
  <dcterms:created xsi:type="dcterms:W3CDTF">2024-06-07T03:07:00Z</dcterms:created>
  <dcterms:modified xsi:type="dcterms:W3CDTF">2024-06-07T03:07:00Z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0x01010022531F52B4EC15489FA927AE13701725</vt:lpwstr>
  </property>
</Properties>
</file>